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2.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8F861" w14:textId="2828F997" w:rsidR="00722AFC" w:rsidRDefault="00722AFC" w:rsidP="003D7F9A">
      <w:pPr>
        <w:pStyle w:val="Title"/>
        <w:jc w:val="center"/>
        <w:rPr>
          <w:sz w:val="44"/>
          <w:szCs w:val="44"/>
        </w:rPr>
      </w:pPr>
      <w:r>
        <w:rPr>
          <w:sz w:val="44"/>
          <w:szCs w:val="44"/>
        </w:rPr>
        <w:t>South Tyneside</w:t>
      </w:r>
    </w:p>
    <w:p w14:paraId="7B070498" w14:textId="449B1F5F" w:rsidR="004E5C6B" w:rsidRDefault="00A11F03" w:rsidP="003D7F9A">
      <w:pPr>
        <w:pStyle w:val="Title"/>
        <w:jc w:val="center"/>
        <w:rPr>
          <w:sz w:val="44"/>
          <w:szCs w:val="44"/>
        </w:rPr>
      </w:pPr>
      <w:r>
        <w:rPr>
          <w:sz w:val="44"/>
          <w:szCs w:val="44"/>
        </w:rPr>
        <w:t>Short Term Exceptional Provision</w:t>
      </w:r>
      <w:r w:rsidR="00B05971" w:rsidRPr="003D7F9A">
        <w:rPr>
          <w:sz w:val="44"/>
          <w:szCs w:val="44"/>
        </w:rPr>
        <w:t xml:space="preserve"> Funding Guidance</w:t>
      </w:r>
    </w:p>
    <w:p w14:paraId="7A169346" w14:textId="2DA68910" w:rsidR="00B05971" w:rsidRPr="003D7F9A" w:rsidRDefault="00B05971" w:rsidP="000D5475">
      <w:pPr>
        <w:spacing w:before="240"/>
        <w:jc w:val="both"/>
        <w:rPr>
          <w:rFonts w:asciiTheme="minorHAnsi" w:hAnsiTheme="minorHAnsi" w:cstheme="minorHAnsi"/>
          <w:bCs/>
          <w:iCs/>
          <w:sz w:val="22"/>
        </w:rPr>
      </w:pPr>
      <w:r w:rsidRPr="003D7F9A">
        <w:rPr>
          <w:rFonts w:asciiTheme="minorHAnsi" w:hAnsiTheme="minorHAnsi" w:cstheme="minorHAnsi"/>
          <w:bCs/>
          <w:iCs/>
          <w:sz w:val="22"/>
        </w:rPr>
        <w:t>This guidance document outlines the</w:t>
      </w:r>
      <w:r w:rsidR="00A11F03">
        <w:rPr>
          <w:rFonts w:asciiTheme="minorHAnsi" w:hAnsiTheme="minorHAnsi" w:cstheme="minorHAnsi"/>
          <w:bCs/>
          <w:iCs/>
          <w:sz w:val="22"/>
        </w:rPr>
        <w:t xml:space="preserve"> Short-Term Exceptional Provision (STEP) F</w:t>
      </w:r>
      <w:r w:rsidRPr="003D7F9A">
        <w:rPr>
          <w:rFonts w:asciiTheme="minorHAnsi" w:hAnsiTheme="minorHAnsi" w:cstheme="minorHAnsi"/>
          <w:bCs/>
          <w:iCs/>
          <w:sz w:val="22"/>
        </w:rPr>
        <w:t xml:space="preserve">unding available to </w:t>
      </w:r>
      <w:r w:rsidR="00F96FEE">
        <w:rPr>
          <w:rFonts w:asciiTheme="minorHAnsi" w:hAnsiTheme="minorHAnsi" w:cstheme="minorHAnsi"/>
          <w:bCs/>
          <w:iCs/>
          <w:sz w:val="22"/>
        </w:rPr>
        <w:t>Sc</w:t>
      </w:r>
      <w:r w:rsidR="00AE7458">
        <w:rPr>
          <w:rFonts w:asciiTheme="minorHAnsi" w:hAnsiTheme="minorHAnsi" w:cstheme="minorHAnsi"/>
          <w:bCs/>
          <w:iCs/>
          <w:sz w:val="22"/>
        </w:rPr>
        <w:t>h</w:t>
      </w:r>
      <w:r w:rsidR="00F96FEE">
        <w:rPr>
          <w:rFonts w:asciiTheme="minorHAnsi" w:hAnsiTheme="minorHAnsi" w:cstheme="minorHAnsi"/>
          <w:bCs/>
          <w:iCs/>
          <w:sz w:val="22"/>
        </w:rPr>
        <w:t>ools</w:t>
      </w:r>
      <w:r w:rsidRPr="003D7F9A">
        <w:rPr>
          <w:rFonts w:asciiTheme="minorHAnsi" w:hAnsiTheme="minorHAnsi" w:cstheme="minorHAnsi"/>
          <w:bCs/>
          <w:iCs/>
          <w:sz w:val="22"/>
        </w:rPr>
        <w:t xml:space="preserve"> to make appropriate provision for</w:t>
      </w:r>
      <w:r w:rsidR="001723A4">
        <w:rPr>
          <w:rFonts w:asciiTheme="minorHAnsi" w:hAnsiTheme="minorHAnsi" w:cstheme="minorHAnsi"/>
          <w:bCs/>
          <w:iCs/>
          <w:sz w:val="22"/>
        </w:rPr>
        <w:t xml:space="preserve"> early years,</w:t>
      </w:r>
      <w:r w:rsidRPr="003D7F9A">
        <w:rPr>
          <w:rFonts w:asciiTheme="minorHAnsi" w:hAnsiTheme="minorHAnsi" w:cstheme="minorHAnsi"/>
          <w:bCs/>
          <w:iCs/>
          <w:sz w:val="22"/>
        </w:rPr>
        <w:t xml:space="preserve"> </w:t>
      </w:r>
      <w:r w:rsidR="003C4A13">
        <w:rPr>
          <w:rFonts w:asciiTheme="minorHAnsi" w:hAnsiTheme="minorHAnsi" w:cstheme="minorHAnsi"/>
          <w:bCs/>
          <w:iCs/>
          <w:sz w:val="22"/>
        </w:rPr>
        <w:t xml:space="preserve">primary and secondary aged </w:t>
      </w:r>
      <w:r w:rsidRPr="003D7F9A">
        <w:rPr>
          <w:rFonts w:asciiTheme="minorHAnsi" w:hAnsiTheme="minorHAnsi" w:cstheme="minorHAnsi"/>
          <w:bCs/>
          <w:iCs/>
          <w:sz w:val="22"/>
        </w:rPr>
        <w:t xml:space="preserve">children and young people with Special Educational Needs &amp; Disabilities (SEND). It includes an overview of the funding available as well as the eligibility for and application process to access additional funding. </w:t>
      </w:r>
    </w:p>
    <w:p w14:paraId="153D550D" w14:textId="1A039292" w:rsidR="00B502D8" w:rsidRPr="003D7F9A" w:rsidRDefault="00B05971" w:rsidP="613652DB">
      <w:pPr>
        <w:jc w:val="both"/>
        <w:rPr>
          <w:rFonts w:asciiTheme="minorHAnsi" w:hAnsiTheme="minorHAnsi"/>
          <w:sz w:val="22"/>
        </w:rPr>
      </w:pPr>
      <w:r w:rsidRPr="613652DB">
        <w:rPr>
          <w:rFonts w:asciiTheme="minorHAnsi" w:hAnsiTheme="minorHAnsi"/>
          <w:sz w:val="22"/>
        </w:rPr>
        <w:t>Setting</w:t>
      </w:r>
      <w:r w:rsidR="00A0259E" w:rsidRPr="613652DB">
        <w:rPr>
          <w:rFonts w:asciiTheme="minorHAnsi" w:hAnsiTheme="minorHAnsi"/>
          <w:sz w:val="22"/>
        </w:rPr>
        <w:t>s</w:t>
      </w:r>
      <w:r w:rsidRPr="613652DB">
        <w:rPr>
          <w:rFonts w:asciiTheme="minorHAnsi" w:hAnsiTheme="minorHAnsi"/>
          <w:sz w:val="22"/>
        </w:rPr>
        <w:t xml:space="preserve"> should use this document in conjunction with the SEND Ranges and South Tyneside’s Ordinarily Available Provision Guide. </w:t>
      </w:r>
      <w:r w:rsidR="00B502D8" w:rsidRPr="613652DB">
        <w:rPr>
          <w:rFonts w:asciiTheme="minorHAnsi" w:hAnsiTheme="minorHAnsi"/>
          <w:sz w:val="22"/>
        </w:rPr>
        <w:t xml:space="preserve">Before considering an application for </w:t>
      </w:r>
      <w:r w:rsidR="00A11F03">
        <w:rPr>
          <w:rFonts w:asciiTheme="minorHAnsi" w:hAnsiTheme="minorHAnsi"/>
          <w:sz w:val="22"/>
        </w:rPr>
        <w:t>STEP</w:t>
      </w:r>
      <w:r w:rsidR="00B502D8" w:rsidRPr="613652DB">
        <w:rPr>
          <w:rFonts w:asciiTheme="minorHAnsi" w:hAnsiTheme="minorHAnsi"/>
          <w:sz w:val="22"/>
        </w:rPr>
        <w:t xml:space="preserve"> Funding, settings are encouraged to explore all support available to them, including referral</w:t>
      </w:r>
      <w:r w:rsidR="00865756" w:rsidRPr="613652DB">
        <w:rPr>
          <w:rFonts w:asciiTheme="minorHAnsi" w:hAnsiTheme="minorHAnsi"/>
          <w:sz w:val="22"/>
        </w:rPr>
        <w:t>s</w:t>
      </w:r>
      <w:r w:rsidR="00B502D8" w:rsidRPr="613652DB">
        <w:rPr>
          <w:rFonts w:asciiTheme="minorHAnsi" w:hAnsiTheme="minorHAnsi"/>
          <w:sz w:val="22"/>
        </w:rPr>
        <w:t xml:space="preserve"> to the Inclusion Service</w:t>
      </w:r>
      <w:r w:rsidR="00865756" w:rsidRPr="613652DB">
        <w:rPr>
          <w:rFonts w:asciiTheme="minorHAnsi" w:hAnsiTheme="minorHAnsi"/>
          <w:sz w:val="22"/>
        </w:rPr>
        <w:t xml:space="preserve">, EP Specialist Teachers and any other </w:t>
      </w:r>
      <w:r w:rsidR="00DC2369" w:rsidRPr="613652DB">
        <w:rPr>
          <w:rFonts w:asciiTheme="minorHAnsi" w:hAnsiTheme="minorHAnsi"/>
          <w:sz w:val="22"/>
        </w:rPr>
        <w:t>relevant external professionals</w:t>
      </w:r>
      <w:r w:rsidR="00B502D8" w:rsidRPr="613652DB">
        <w:rPr>
          <w:rFonts w:asciiTheme="minorHAnsi" w:hAnsiTheme="minorHAnsi"/>
          <w:sz w:val="22"/>
        </w:rPr>
        <w:t xml:space="preserve"> to obtain advice and support. </w:t>
      </w:r>
      <w:r w:rsidR="00DC2369" w:rsidRPr="613652DB">
        <w:rPr>
          <w:rFonts w:asciiTheme="minorHAnsi" w:hAnsiTheme="minorHAnsi"/>
          <w:sz w:val="22"/>
        </w:rPr>
        <w:t xml:space="preserve"> </w:t>
      </w:r>
      <w:r w:rsidR="00635D8D" w:rsidRPr="613652DB">
        <w:rPr>
          <w:rFonts w:asciiTheme="minorHAnsi" w:hAnsiTheme="minorHAnsi"/>
          <w:sz w:val="22"/>
        </w:rPr>
        <w:t>Any</w:t>
      </w:r>
      <w:r w:rsidR="00DC2369" w:rsidRPr="613652DB">
        <w:rPr>
          <w:rFonts w:asciiTheme="minorHAnsi" w:hAnsiTheme="minorHAnsi"/>
          <w:sz w:val="22"/>
        </w:rPr>
        <w:t xml:space="preserve"> recommendations</w:t>
      </w:r>
      <w:r w:rsidR="00C93AED" w:rsidRPr="613652DB">
        <w:rPr>
          <w:rFonts w:asciiTheme="minorHAnsi" w:hAnsiTheme="minorHAnsi"/>
          <w:sz w:val="22"/>
        </w:rPr>
        <w:t xml:space="preserve"> and reports</w:t>
      </w:r>
      <w:r w:rsidR="00DC2369" w:rsidRPr="613652DB">
        <w:rPr>
          <w:rFonts w:asciiTheme="minorHAnsi" w:hAnsiTheme="minorHAnsi"/>
          <w:sz w:val="22"/>
        </w:rPr>
        <w:t xml:space="preserve"> </w:t>
      </w:r>
      <w:r w:rsidR="00ED6ED5" w:rsidRPr="613652DB">
        <w:rPr>
          <w:rFonts w:asciiTheme="minorHAnsi" w:hAnsiTheme="minorHAnsi"/>
          <w:sz w:val="22"/>
        </w:rPr>
        <w:t xml:space="preserve">resulting </w:t>
      </w:r>
      <w:r w:rsidR="00DC2369" w:rsidRPr="613652DB">
        <w:rPr>
          <w:rFonts w:asciiTheme="minorHAnsi" w:hAnsiTheme="minorHAnsi"/>
          <w:sz w:val="22"/>
        </w:rPr>
        <w:t xml:space="preserve">from this </w:t>
      </w:r>
      <w:r w:rsidR="00C93AED" w:rsidRPr="613652DB">
        <w:rPr>
          <w:rFonts w:asciiTheme="minorHAnsi" w:hAnsiTheme="minorHAnsi"/>
          <w:sz w:val="22"/>
        </w:rPr>
        <w:t>external involvement should be submitted as part of the application p</w:t>
      </w:r>
      <w:r w:rsidR="00635D8D" w:rsidRPr="613652DB">
        <w:rPr>
          <w:rFonts w:asciiTheme="minorHAnsi" w:hAnsiTheme="minorHAnsi"/>
          <w:sz w:val="22"/>
        </w:rPr>
        <w:t>rocess.</w:t>
      </w:r>
    </w:p>
    <w:p w14:paraId="339178FF" w14:textId="0E2233FD" w:rsidR="003D7F9A" w:rsidRPr="003D7F9A" w:rsidRDefault="003D7F9A" w:rsidP="003D7F9A">
      <w:pPr>
        <w:jc w:val="both"/>
        <w:rPr>
          <w:rFonts w:asciiTheme="minorHAnsi" w:hAnsiTheme="minorHAnsi" w:cstheme="minorHAnsi"/>
          <w:bCs/>
          <w:iCs/>
          <w:sz w:val="22"/>
        </w:rPr>
      </w:pPr>
      <w:r w:rsidRPr="003D7F9A">
        <w:rPr>
          <w:rFonts w:asciiTheme="minorHAnsi" w:hAnsiTheme="minorHAnsi" w:cstheme="minorHAnsi"/>
          <w:bCs/>
          <w:iCs/>
          <w:sz w:val="22"/>
        </w:rPr>
        <w:t xml:space="preserve">The national expectation is that </w:t>
      </w:r>
      <w:r w:rsidR="006D390D">
        <w:rPr>
          <w:rFonts w:asciiTheme="minorHAnsi" w:hAnsiTheme="minorHAnsi" w:cstheme="minorHAnsi"/>
          <w:bCs/>
          <w:iCs/>
          <w:sz w:val="22"/>
        </w:rPr>
        <w:t>schools</w:t>
      </w:r>
      <w:r w:rsidRPr="003D7F9A">
        <w:rPr>
          <w:rFonts w:asciiTheme="minorHAnsi" w:hAnsiTheme="minorHAnsi" w:cstheme="minorHAnsi"/>
          <w:bCs/>
          <w:iCs/>
          <w:sz w:val="22"/>
        </w:rPr>
        <w:t xml:space="preserve"> will provide up to £6,00</w:t>
      </w:r>
      <w:r w:rsidR="007B624D">
        <w:rPr>
          <w:rFonts w:asciiTheme="minorHAnsi" w:hAnsiTheme="minorHAnsi" w:cstheme="minorHAnsi"/>
          <w:bCs/>
          <w:iCs/>
          <w:sz w:val="22"/>
        </w:rPr>
        <w:t xml:space="preserve">0 </w:t>
      </w:r>
      <w:r w:rsidRPr="003D7F9A">
        <w:rPr>
          <w:rFonts w:asciiTheme="minorHAnsi" w:hAnsiTheme="minorHAnsi" w:cstheme="minorHAnsi"/>
          <w:bCs/>
          <w:iCs/>
          <w:sz w:val="22"/>
        </w:rPr>
        <w:t>of additional provision from within their delegated budget (Element 2). This is often referred to as the SEN Notional Budget</w:t>
      </w:r>
      <w:r w:rsidRPr="00A11F03">
        <w:rPr>
          <w:rFonts w:asciiTheme="minorHAnsi" w:hAnsiTheme="minorHAnsi" w:cstheme="minorHAnsi"/>
          <w:bCs/>
          <w:iCs/>
          <w:sz w:val="22"/>
          <w:vertAlign w:val="superscript"/>
        </w:rPr>
        <w:footnoteReference w:id="1"/>
      </w:r>
      <w:r w:rsidRPr="003D7F9A">
        <w:rPr>
          <w:rFonts w:asciiTheme="minorHAnsi" w:hAnsiTheme="minorHAnsi" w:cstheme="minorHAnsi"/>
          <w:bCs/>
          <w:iCs/>
          <w:sz w:val="22"/>
        </w:rPr>
        <w:t xml:space="preserve">. </w:t>
      </w:r>
    </w:p>
    <w:p w14:paraId="7606D271" w14:textId="2D5088AD" w:rsidR="003D7F9A" w:rsidRPr="00B502D8" w:rsidRDefault="003D7F9A" w:rsidP="00AE7458">
      <w:pPr>
        <w:jc w:val="both"/>
        <w:rPr>
          <w:rFonts w:asciiTheme="minorHAnsi" w:hAnsiTheme="minorHAnsi" w:cstheme="minorHAnsi"/>
          <w:b/>
          <w:iCs/>
          <w:sz w:val="22"/>
          <w:u w:val="single"/>
        </w:rPr>
      </w:pPr>
      <w:r w:rsidRPr="00B502D8">
        <w:rPr>
          <w:rFonts w:asciiTheme="minorHAnsi" w:hAnsiTheme="minorHAnsi" w:cstheme="minorHAnsi"/>
          <w:b/>
          <w:iCs/>
          <w:sz w:val="22"/>
          <w:u w:val="single"/>
        </w:rPr>
        <w:t xml:space="preserve">Therefore, </w:t>
      </w:r>
      <w:proofErr w:type="gramStart"/>
      <w:r w:rsidRPr="00B502D8">
        <w:rPr>
          <w:rFonts w:asciiTheme="minorHAnsi" w:hAnsiTheme="minorHAnsi" w:cstheme="minorHAnsi"/>
          <w:b/>
          <w:iCs/>
          <w:sz w:val="22"/>
          <w:u w:val="single"/>
        </w:rPr>
        <w:t>the majority of</w:t>
      </w:r>
      <w:proofErr w:type="gramEnd"/>
      <w:r w:rsidRPr="00B502D8">
        <w:rPr>
          <w:rFonts w:asciiTheme="minorHAnsi" w:hAnsiTheme="minorHAnsi" w:cstheme="minorHAnsi"/>
          <w:b/>
          <w:iCs/>
          <w:sz w:val="22"/>
          <w:u w:val="single"/>
        </w:rPr>
        <w:t xml:space="preserve"> children with SEND will have their needs met without requiring additional funding via the Local Authority. </w:t>
      </w:r>
    </w:p>
    <w:p w14:paraId="4AA96868" w14:textId="77777777" w:rsidR="00F96FEE" w:rsidRDefault="00F96FEE" w:rsidP="00F96FEE">
      <w:pPr>
        <w:jc w:val="both"/>
        <w:rPr>
          <w:rFonts w:asciiTheme="minorHAnsi" w:hAnsiTheme="minorHAnsi" w:cstheme="minorHAnsi"/>
          <w:bCs/>
          <w:iCs/>
          <w:sz w:val="22"/>
        </w:rPr>
      </w:pPr>
      <w:r>
        <w:rPr>
          <w:rFonts w:asciiTheme="minorHAnsi" w:hAnsiTheme="minorHAnsi" w:cstheme="minorHAnsi"/>
          <w:bCs/>
          <w:iCs/>
          <w:sz w:val="22"/>
        </w:rPr>
        <w:t>There may be circumstances were, on a short-term basis, additional support may be necessary. This may be</w:t>
      </w:r>
      <w:r w:rsidRPr="00546E32">
        <w:rPr>
          <w:rFonts w:asciiTheme="minorHAnsi" w:hAnsiTheme="minorHAnsi" w:cstheme="minorHAnsi"/>
          <w:bCs/>
          <w:iCs/>
          <w:sz w:val="22"/>
        </w:rPr>
        <w:t xml:space="preserve"> during a transitional period or </w:t>
      </w:r>
      <w:r>
        <w:rPr>
          <w:rFonts w:asciiTheme="minorHAnsi" w:hAnsiTheme="minorHAnsi" w:cstheme="minorHAnsi"/>
          <w:bCs/>
          <w:iCs/>
          <w:sz w:val="22"/>
        </w:rPr>
        <w:t>where an emerging</w:t>
      </w:r>
      <w:r w:rsidRPr="00546E32">
        <w:rPr>
          <w:rFonts w:asciiTheme="minorHAnsi" w:hAnsiTheme="minorHAnsi" w:cstheme="minorHAnsi"/>
          <w:bCs/>
          <w:iCs/>
          <w:sz w:val="22"/>
        </w:rPr>
        <w:t xml:space="preserve"> need </w:t>
      </w:r>
      <w:r>
        <w:rPr>
          <w:rFonts w:asciiTheme="minorHAnsi" w:hAnsiTheme="minorHAnsi" w:cstheme="minorHAnsi"/>
          <w:bCs/>
          <w:iCs/>
          <w:sz w:val="22"/>
        </w:rPr>
        <w:t xml:space="preserve">will </w:t>
      </w:r>
      <w:r w:rsidRPr="00546E32">
        <w:rPr>
          <w:rFonts w:asciiTheme="minorHAnsi" w:hAnsiTheme="minorHAnsi" w:cstheme="minorHAnsi"/>
          <w:bCs/>
          <w:iCs/>
          <w:sz w:val="22"/>
        </w:rPr>
        <w:t xml:space="preserve">not impact on the child’s education long term if </w:t>
      </w:r>
      <w:r>
        <w:rPr>
          <w:rFonts w:asciiTheme="minorHAnsi" w:hAnsiTheme="minorHAnsi" w:cstheme="minorHAnsi"/>
          <w:bCs/>
          <w:iCs/>
          <w:sz w:val="22"/>
        </w:rPr>
        <w:t>early intervention is in place and gaps in</w:t>
      </w:r>
      <w:r w:rsidRPr="00546E32">
        <w:rPr>
          <w:rFonts w:asciiTheme="minorHAnsi" w:hAnsiTheme="minorHAnsi" w:cstheme="minorHAnsi"/>
          <w:bCs/>
          <w:iCs/>
          <w:sz w:val="22"/>
        </w:rPr>
        <w:t xml:space="preserve"> learning are closed.  </w:t>
      </w:r>
    </w:p>
    <w:p w14:paraId="743F51A2" w14:textId="51055808" w:rsidR="00F96FEE" w:rsidRDefault="003D7F9A" w:rsidP="003D7F9A">
      <w:pPr>
        <w:jc w:val="both"/>
        <w:rPr>
          <w:rFonts w:asciiTheme="minorHAnsi" w:hAnsiTheme="minorHAnsi" w:cstheme="minorHAnsi"/>
          <w:b/>
          <w:iCs/>
          <w:sz w:val="22"/>
        </w:rPr>
      </w:pPr>
      <w:r w:rsidRPr="003D7F9A">
        <w:rPr>
          <w:rFonts w:asciiTheme="minorHAnsi" w:hAnsiTheme="minorHAnsi" w:cstheme="minorHAnsi"/>
          <w:b/>
          <w:iCs/>
          <w:sz w:val="22"/>
        </w:rPr>
        <w:t xml:space="preserve">This guidance refers to </w:t>
      </w:r>
      <w:r w:rsidR="00A11F03">
        <w:rPr>
          <w:rFonts w:asciiTheme="minorHAnsi" w:hAnsiTheme="minorHAnsi" w:cstheme="minorHAnsi"/>
          <w:b/>
          <w:iCs/>
          <w:sz w:val="22"/>
        </w:rPr>
        <w:t>STEP</w:t>
      </w:r>
      <w:r w:rsidRPr="003D7F9A">
        <w:rPr>
          <w:rFonts w:asciiTheme="minorHAnsi" w:hAnsiTheme="minorHAnsi" w:cstheme="minorHAnsi"/>
          <w:b/>
          <w:iCs/>
          <w:sz w:val="22"/>
        </w:rPr>
        <w:t xml:space="preserve"> Funding </w:t>
      </w:r>
      <w:r w:rsidR="000D5475" w:rsidRPr="003D7F9A">
        <w:rPr>
          <w:rFonts w:asciiTheme="minorHAnsi" w:hAnsiTheme="minorHAnsi" w:cstheme="minorHAnsi"/>
          <w:b/>
          <w:iCs/>
          <w:sz w:val="22"/>
        </w:rPr>
        <w:t>only and</w:t>
      </w:r>
      <w:r w:rsidRPr="003D7F9A">
        <w:rPr>
          <w:rFonts w:asciiTheme="minorHAnsi" w:hAnsiTheme="minorHAnsi" w:cstheme="minorHAnsi"/>
          <w:b/>
          <w:iCs/>
          <w:sz w:val="22"/>
        </w:rPr>
        <w:t xml:space="preserve"> should not be used for those who have an EHCP</w:t>
      </w:r>
      <w:r w:rsidR="00602560">
        <w:rPr>
          <w:rFonts w:asciiTheme="minorHAnsi" w:hAnsiTheme="minorHAnsi" w:cstheme="minorHAnsi"/>
          <w:b/>
          <w:iCs/>
          <w:sz w:val="22"/>
        </w:rPr>
        <w:t>.</w:t>
      </w:r>
    </w:p>
    <w:p w14:paraId="5AE796FC" w14:textId="6DFFC9CE" w:rsidR="00F96FEE" w:rsidRDefault="00170780" w:rsidP="003D7F9A">
      <w:pPr>
        <w:jc w:val="both"/>
        <w:rPr>
          <w:rFonts w:asciiTheme="minorHAnsi" w:hAnsiTheme="minorHAnsi" w:cstheme="minorHAnsi"/>
          <w:bCs/>
          <w:iCs/>
          <w:sz w:val="22"/>
        </w:rPr>
      </w:pPr>
      <w:r>
        <w:rPr>
          <w:rFonts w:asciiTheme="minorHAnsi" w:hAnsiTheme="minorHAnsi" w:cstheme="minorHAnsi"/>
          <w:bCs/>
          <w:iCs/>
          <w:sz w:val="22"/>
        </w:rPr>
        <w:t>The p</w:t>
      </w:r>
      <w:r w:rsidR="00F96FEE">
        <w:rPr>
          <w:rFonts w:asciiTheme="minorHAnsi" w:hAnsiTheme="minorHAnsi" w:cstheme="minorHAnsi"/>
          <w:bCs/>
          <w:iCs/>
          <w:sz w:val="22"/>
        </w:rPr>
        <w:t xml:space="preserve">urpose of </w:t>
      </w:r>
      <w:r w:rsidR="00A11F03">
        <w:rPr>
          <w:rFonts w:asciiTheme="minorHAnsi" w:hAnsiTheme="minorHAnsi" w:cstheme="minorHAnsi"/>
          <w:bCs/>
          <w:iCs/>
          <w:sz w:val="22"/>
        </w:rPr>
        <w:t>STEP</w:t>
      </w:r>
      <w:r w:rsidR="00F96FEE">
        <w:rPr>
          <w:rFonts w:asciiTheme="minorHAnsi" w:hAnsiTheme="minorHAnsi" w:cstheme="minorHAnsi"/>
          <w:bCs/>
          <w:iCs/>
          <w:sz w:val="22"/>
        </w:rPr>
        <w:t xml:space="preserve"> Funding</w:t>
      </w:r>
      <w:r>
        <w:rPr>
          <w:rFonts w:asciiTheme="minorHAnsi" w:hAnsiTheme="minorHAnsi" w:cstheme="minorHAnsi"/>
          <w:bCs/>
          <w:iCs/>
          <w:sz w:val="22"/>
        </w:rPr>
        <w:t xml:space="preserve"> is to: </w:t>
      </w:r>
    </w:p>
    <w:p w14:paraId="65401B10" w14:textId="004FCE1E" w:rsidR="00170780" w:rsidRPr="000E5473" w:rsidRDefault="00170780" w:rsidP="00BE08A9">
      <w:pPr>
        <w:pStyle w:val="ListParagraph"/>
        <w:numPr>
          <w:ilvl w:val="0"/>
          <w:numId w:val="2"/>
        </w:numPr>
        <w:ind w:left="567"/>
        <w:jc w:val="both"/>
        <w:rPr>
          <w:rFonts w:asciiTheme="minorHAnsi" w:hAnsiTheme="minorHAnsi" w:cstheme="minorHAnsi"/>
          <w:bCs/>
          <w:iCs/>
          <w:sz w:val="22"/>
        </w:rPr>
      </w:pPr>
      <w:r w:rsidRPr="000E5473">
        <w:rPr>
          <w:rFonts w:asciiTheme="minorHAnsi" w:hAnsiTheme="minorHAnsi" w:cstheme="minorHAnsi"/>
          <w:bCs/>
          <w:iCs/>
          <w:sz w:val="22"/>
        </w:rPr>
        <w:t xml:space="preserve">Ensure positive outcomes for children and young people with SEND through early intervention and </w:t>
      </w:r>
      <w:r w:rsidR="00602560" w:rsidRPr="000E5473">
        <w:rPr>
          <w:rFonts w:asciiTheme="minorHAnsi" w:hAnsiTheme="minorHAnsi" w:cstheme="minorHAnsi"/>
          <w:bCs/>
          <w:iCs/>
          <w:sz w:val="22"/>
        </w:rPr>
        <w:t>support.</w:t>
      </w:r>
    </w:p>
    <w:p w14:paraId="18A45011" w14:textId="16C3819D" w:rsidR="00F96FEE" w:rsidRPr="000E5473" w:rsidRDefault="00F96FEE" w:rsidP="00BE08A9">
      <w:pPr>
        <w:pStyle w:val="ListParagraph"/>
        <w:numPr>
          <w:ilvl w:val="0"/>
          <w:numId w:val="2"/>
        </w:numPr>
        <w:ind w:left="567"/>
        <w:jc w:val="both"/>
        <w:rPr>
          <w:rFonts w:asciiTheme="minorHAnsi" w:hAnsiTheme="minorHAnsi" w:cstheme="minorHAnsi"/>
          <w:bCs/>
          <w:iCs/>
          <w:sz w:val="22"/>
        </w:rPr>
      </w:pPr>
      <w:r w:rsidRPr="000E5473">
        <w:rPr>
          <w:rFonts w:asciiTheme="minorHAnsi" w:hAnsiTheme="minorHAnsi" w:cstheme="minorHAnsi"/>
          <w:bCs/>
          <w:iCs/>
          <w:sz w:val="22"/>
        </w:rPr>
        <w:t xml:space="preserve">Support the inclusion of children with SEN in mainstream </w:t>
      </w:r>
      <w:r w:rsidR="00602560" w:rsidRPr="000E5473">
        <w:rPr>
          <w:rFonts w:asciiTheme="minorHAnsi" w:hAnsiTheme="minorHAnsi" w:cstheme="minorHAnsi"/>
          <w:bCs/>
          <w:iCs/>
          <w:sz w:val="22"/>
        </w:rPr>
        <w:t>settings.</w:t>
      </w:r>
    </w:p>
    <w:p w14:paraId="6FC2BCFB" w14:textId="0973A1DA" w:rsidR="00F96FEE" w:rsidRDefault="00F96FEE" w:rsidP="00BE08A9">
      <w:pPr>
        <w:pStyle w:val="ListParagraph"/>
        <w:numPr>
          <w:ilvl w:val="0"/>
          <w:numId w:val="2"/>
        </w:numPr>
        <w:ind w:left="567"/>
        <w:jc w:val="both"/>
        <w:rPr>
          <w:rFonts w:asciiTheme="minorHAnsi" w:hAnsiTheme="minorHAnsi" w:cstheme="minorHAnsi"/>
          <w:bCs/>
          <w:iCs/>
          <w:sz w:val="22"/>
        </w:rPr>
      </w:pPr>
      <w:r w:rsidRPr="000E5473">
        <w:rPr>
          <w:rFonts w:asciiTheme="minorHAnsi" w:hAnsiTheme="minorHAnsi" w:cstheme="minorHAnsi"/>
          <w:bCs/>
          <w:iCs/>
          <w:sz w:val="22"/>
        </w:rPr>
        <w:t xml:space="preserve">Reduce bureaucracy while promoting equity and </w:t>
      </w:r>
      <w:r w:rsidR="00602560" w:rsidRPr="000E5473">
        <w:rPr>
          <w:rFonts w:asciiTheme="minorHAnsi" w:hAnsiTheme="minorHAnsi" w:cstheme="minorHAnsi"/>
          <w:bCs/>
          <w:iCs/>
          <w:sz w:val="22"/>
        </w:rPr>
        <w:t>fairness.</w:t>
      </w:r>
    </w:p>
    <w:p w14:paraId="5475B8B3" w14:textId="1A8FCDF7" w:rsidR="00D662AD" w:rsidRDefault="00A11F03" w:rsidP="00D662AD">
      <w:pPr>
        <w:jc w:val="both"/>
        <w:rPr>
          <w:rFonts w:asciiTheme="minorHAnsi" w:hAnsiTheme="minorHAnsi" w:cstheme="minorHAnsi"/>
          <w:b/>
          <w:iCs/>
          <w:sz w:val="22"/>
          <w:u w:val="single"/>
        </w:rPr>
      </w:pPr>
      <w:r>
        <w:rPr>
          <w:rFonts w:asciiTheme="minorHAnsi" w:hAnsiTheme="minorHAnsi" w:cstheme="minorHAnsi"/>
          <w:b/>
          <w:iCs/>
          <w:sz w:val="22"/>
          <w:u w:val="single"/>
        </w:rPr>
        <w:t>STEP</w:t>
      </w:r>
      <w:r w:rsidR="00D662AD" w:rsidRPr="00D662AD">
        <w:rPr>
          <w:rFonts w:asciiTheme="minorHAnsi" w:hAnsiTheme="minorHAnsi" w:cstheme="minorHAnsi"/>
          <w:b/>
          <w:iCs/>
          <w:sz w:val="22"/>
          <w:u w:val="single"/>
        </w:rPr>
        <w:t xml:space="preserve"> Funding will only be provided, where the setting agrees to provide reports on the impact of the funding and progress that the CYP has made. </w:t>
      </w:r>
    </w:p>
    <w:p w14:paraId="57E39DFF" w14:textId="59CDC20A" w:rsidR="00DB2416" w:rsidRDefault="00A11F03" w:rsidP="613652DB">
      <w:pPr>
        <w:rPr>
          <w:rFonts w:asciiTheme="minorHAnsi" w:hAnsiTheme="minorHAnsi"/>
          <w:sz w:val="22"/>
        </w:rPr>
      </w:pPr>
      <w:r>
        <w:rPr>
          <w:rFonts w:asciiTheme="minorHAnsi" w:hAnsiTheme="minorHAnsi"/>
          <w:sz w:val="22"/>
        </w:rPr>
        <w:t>STEP</w:t>
      </w:r>
      <w:r w:rsidR="00DB2416" w:rsidRPr="613652DB">
        <w:rPr>
          <w:rFonts w:asciiTheme="minorHAnsi" w:hAnsiTheme="minorHAnsi"/>
          <w:sz w:val="22"/>
        </w:rPr>
        <w:t xml:space="preserve"> funding is not suitable to provide provision or intervention on a long-term basis. In cases where it is felt that a high level of support </w:t>
      </w:r>
      <w:r w:rsidR="00D14A20" w:rsidRPr="613652DB">
        <w:rPr>
          <w:rFonts w:asciiTheme="minorHAnsi" w:hAnsiTheme="minorHAnsi"/>
          <w:sz w:val="22"/>
        </w:rPr>
        <w:t xml:space="preserve">over and above notional funding </w:t>
      </w:r>
      <w:r w:rsidR="00DB2416" w:rsidRPr="613652DB">
        <w:rPr>
          <w:rFonts w:asciiTheme="minorHAnsi" w:hAnsiTheme="minorHAnsi"/>
          <w:sz w:val="22"/>
        </w:rPr>
        <w:t xml:space="preserve">will be required over a long period an Education Health &amp; Care Needs Assessment </w:t>
      </w:r>
      <w:r w:rsidR="00DB2416" w:rsidRPr="613652DB">
        <w:rPr>
          <w:rFonts w:asciiTheme="minorHAnsi" w:hAnsiTheme="minorHAnsi"/>
          <w:b/>
          <w:bCs/>
          <w:sz w:val="22"/>
        </w:rPr>
        <w:t>may</w:t>
      </w:r>
      <w:r w:rsidR="00DB2416" w:rsidRPr="613652DB">
        <w:rPr>
          <w:rFonts w:asciiTheme="minorHAnsi" w:hAnsiTheme="minorHAnsi"/>
          <w:sz w:val="22"/>
        </w:rPr>
        <w:t xml:space="preserve"> be appropriate.</w:t>
      </w:r>
    </w:p>
    <w:p w14:paraId="05193EF1" w14:textId="23D418CE" w:rsidR="0092215D" w:rsidRDefault="0092215D" w:rsidP="613652DB">
      <w:pPr>
        <w:rPr>
          <w:rFonts w:asciiTheme="minorHAnsi" w:hAnsiTheme="minorHAnsi"/>
          <w:sz w:val="22"/>
        </w:rPr>
      </w:pPr>
      <w:r>
        <w:rPr>
          <w:rFonts w:asciiTheme="minorHAnsi" w:hAnsiTheme="minorHAnsi"/>
          <w:sz w:val="22"/>
        </w:rPr>
        <w:t xml:space="preserve">Where the setting is considering a request for an Education Health &amp; Care Needs Assessment and this is agreed, any </w:t>
      </w:r>
      <w:r w:rsidRPr="0092215D">
        <w:rPr>
          <w:rFonts w:asciiTheme="minorHAnsi" w:hAnsiTheme="minorHAnsi"/>
          <w:sz w:val="22"/>
          <w:u w:val="single"/>
        </w:rPr>
        <w:t>funding attached to the EHC Plan will only be provided from the point of issue</w:t>
      </w:r>
      <w:r>
        <w:rPr>
          <w:rFonts w:asciiTheme="minorHAnsi" w:hAnsiTheme="minorHAnsi"/>
          <w:sz w:val="22"/>
        </w:rPr>
        <w:t xml:space="preserve">. Therefore schools/settings may wish to consider applying for STEP Funding in the interim. </w:t>
      </w:r>
    </w:p>
    <w:p w14:paraId="15B178DE" w14:textId="77777777" w:rsidR="0092215D" w:rsidRDefault="0092215D">
      <w:pPr>
        <w:rPr>
          <w:rFonts w:asciiTheme="majorHAnsi" w:eastAsiaTheme="majorEastAsia" w:hAnsiTheme="majorHAnsi" w:cstheme="majorBidi"/>
          <w:color w:val="276E8B" w:themeColor="accent1" w:themeShade="BF"/>
          <w:sz w:val="26"/>
          <w:szCs w:val="26"/>
        </w:rPr>
      </w:pPr>
      <w:r>
        <w:br w:type="page"/>
      </w:r>
    </w:p>
    <w:p w14:paraId="75E359E2" w14:textId="1AC86AAF" w:rsidR="00DB2416" w:rsidRDefault="00A11F03" w:rsidP="00DB2416">
      <w:pPr>
        <w:pStyle w:val="Heading2"/>
      </w:pPr>
      <w:r>
        <w:lastRenderedPageBreak/>
        <w:t>STEP</w:t>
      </w:r>
      <w:r w:rsidR="00DB2416">
        <w:t xml:space="preserve"> Funding Eligibility</w:t>
      </w:r>
    </w:p>
    <w:p w14:paraId="2C093689" w14:textId="431D818F" w:rsidR="00A11F03" w:rsidRPr="00A11F03" w:rsidRDefault="00A11F03" w:rsidP="00A11F03">
      <w:pPr>
        <w:pStyle w:val="ListParagraph"/>
        <w:numPr>
          <w:ilvl w:val="0"/>
          <w:numId w:val="6"/>
        </w:numPr>
        <w:ind w:left="567"/>
        <w:rPr>
          <w:rFonts w:asciiTheme="minorHAnsi" w:hAnsiTheme="minorHAnsi" w:cstheme="minorHAnsi"/>
          <w:bCs/>
          <w:iCs/>
          <w:sz w:val="22"/>
        </w:rPr>
      </w:pPr>
      <w:r>
        <w:rPr>
          <w:rFonts w:asciiTheme="minorHAnsi" w:hAnsiTheme="minorHAnsi" w:cstheme="minorHAnsi"/>
          <w:bCs/>
          <w:iCs/>
          <w:sz w:val="22"/>
        </w:rPr>
        <w:t xml:space="preserve">Child must be </w:t>
      </w:r>
      <w:r w:rsidR="006D1745">
        <w:rPr>
          <w:rFonts w:asciiTheme="minorHAnsi" w:hAnsiTheme="minorHAnsi" w:cstheme="minorHAnsi"/>
          <w:bCs/>
          <w:iCs/>
          <w:sz w:val="22"/>
        </w:rPr>
        <w:t>accessing their Early Education Entitlement Funded Hours, in</w:t>
      </w:r>
      <w:r>
        <w:rPr>
          <w:rFonts w:asciiTheme="minorHAnsi" w:hAnsiTheme="minorHAnsi" w:cstheme="minorHAnsi"/>
          <w:bCs/>
          <w:iCs/>
          <w:sz w:val="22"/>
        </w:rPr>
        <w:t xml:space="preserve"> reception or above to be eligible for STEP Funding. In exceptional circumstances</w:t>
      </w:r>
      <w:r w:rsidR="003C4A13">
        <w:rPr>
          <w:rFonts w:asciiTheme="minorHAnsi" w:hAnsiTheme="minorHAnsi" w:cstheme="minorHAnsi"/>
          <w:bCs/>
          <w:iCs/>
          <w:sz w:val="22"/>
        </w:rPr>
        <w:t xml:space="preserve">. </w:t>
      </w:r>
    </w:p>
    <w:p w14:paraId="49DDE588" w14:textId="20530590" w:rsidR="00661ACE" w:rsidRPr="00991B64" w:rsidRDefault="007B624D" w:rsidP="00BE08A9">
      <w:pPr>
        <w:pStyle w:val="ListParagraph"/>
        <w:numPr>
          <w:ilvl w:val="0"/>
          <w:numId w:val="6"/>
        </w:numPr>
        <w:ind w:left="567"/>
        <w:rPr>
          <w:rFonts w:asciiTheme="minorHAnsi" w:hAnsiTheme="minorHAnsi" w:cstheme="minorHAnsi"/>
          <w:bCs/>
          <w:iCs/>
          <w:sz w:val="22"/>
        </w:rPr>
      </w:pPr>
      <w:r w:rsidRPr="00991B64">
        <w:rPr>
          <w:rFonts w:asciiTheme="minorHAnsi" w:hAnsiTheme="minorHAnsi" w:cstheme="minorHAnsi"/>
          <w:bCs/>
          <w:iCs/>
          <w:sz w:val="22"/>
        </w:rPr>
        <w:t>The child being applied for, must be resident in South Tyneside and attending a setting within its locality</w:t>
      </w:r>
      <w:r w:rsidR="00C75BDF">
        <w:rPr>
          <w:rFonts w:asciiTheme="minorHAnsi" w:hAnsiTheme="minorHAnsi" w:cstheme="minorHAnsi"/>
          <w:bCs/>
          <w:iCs/>
          <w:sz w:val="22"/>
        </w:rPr>
        <w:t xml:space="preserve"> </w:t>
      </w:r>
      <w:r w:rsidR="00C75BDF" w:rsidRPr="00C75BDF">
        <w:rPr>
          <w:rFonts w:asciiTheme="minorHAnsi" w:hAnsiTheme="minorHAnsi" w:cstheme="minorHAnsi"/>
          <w:bCs/>
          <w:iCs/>
          <w:sz w:val="18"/>
          <w:szCs w:val="18"/>
        </w:rPr>
        <w:t>(please contact us if child is attending a setting outside of the Borough)</w:t>
      </w:r>
      <w:r w:rsidR="00602560">
        <w:rPr>
          <w:rFonts w:asciiTheme="minorHAnsi" w:hAnsiTheme="minorHAnsi" w:cstheme="minorHAnsi"/>
          <w:bCs/>
          <w:iCs/>
          <w:sz w:val="18"/>
          <w:szCs w:val="18"/>
        </w:rPr>
        <w:t>.</w:t>
      </w:r>
    </w:p>
    <w:p w14:paraId="6B8EF1F0" w14:textId="0CC5BF66" w:rsidR="00661ACE" w:rsidRPr="00991B64" w:rsidRDefault="00661ACE" w:rsidP="00BE08A9">
      <w:pPr>
        <w:pStyle w:val="ListParagraph"/>
        <w:numPr>
          <w:ilvl w:val="0"/>
          <w:numId w:val="6"/>
        </w:numPr>
        <w:ind w:left="567"/>
        <w:rPr>
          <w:rFonts w:asciiTheme="minorHAnsi" w:hAnsiTheme="minorHAnsi" w:cstheme="minorHAnsi"/>
          <w:bCs/>
          <w:iCs/>
          <w:sz w:val="22"/>
        </w:rPr>
      </w:pPr>
      <w:r w:rsidRPr="00991B64">
        <w:rPr>
          <w:rFonts w:asciiTheme="minorHAnsi" w:hAnsiTheme="minorHAnsi" w:cstheme="minorHAnsi"/>
          <w:bCs/>
          <w:iCs/>
          <w:sz w:val="22"/>
        </w:rPr>
        <w:t>Application has been discussed and signed by parents/carers</w:t>
      </w:r>
      <w:r w:rsidR="00602560">
        <w:rPr>
          <w:rFonts w:asciiTheme="minorHAnsi" w:hAnsiTheme="minorHAnsi" w:cstheme="minorHAnsi"/>
          <w:bCs/>
          <w:iCs/>
          <w:sz w:val="22"/>
        </w:rPr>
        <w:t>.</w:t>
      </w:r>
    </w:p>
    <w:p w14:paraId="7C02C048" w14:textId="279AD1B0" w:rsidR="00170780" w:rsidRPr="00170780" w:rsidRDefault="00170780" w:rsidP="00170780">
      <w:pPr>
        <w:pStyle w:val="Heading2"/>
      </w:pPr>
      <w:r w:rsidRPr="00170780">
        <w:t xml:space="preserve">Requesting </w:t>
      </w:r>
      <w:r w:rsidR="00A11F03">
        <w:t>STEP</w:t>
      </w:r>
      <w:r w:rsidRPr="00170780">
        <w:t xml:space="preserve"> Funding</w:t>
      </w:r>
    </w:p>
    <w:p w14:paraId="450D4C31" w14:textId="1D570201" w:rsidR="000E5473" w:rsidRDefault="00170780" w:rsidP="613652DB">
      <w:pPr>
        <w:jc w:val="both"/>
        <w:rPr>
          <w:rFonts w:asciiTheme="minorHAnsi" w:hAnsiTheme="minorHAnsi"/>
          <w:sz w:val="22"/>
        </w:rPr>
      </w:pPr>
      <w:r w:rsidRPr="613652DB">
        <w:rPr>
          <w:rFonts w:asciiTheme="minorHAnsi" w:hAnsiTheme="minorHAnsi"/>
          <w:sz w:val="22"/>
        </w:rPr>
        <w:t xml:space="preserve">It is expected that prior to making an application for </w:t>
      </w:r>
      <w:r w:rsidR="00A11F03">
        <w:rPr>
          <w:rFonts w:asciiTheme="minorHAnsi" w:hAnsiTheme="minorHAnsi"/>
          <w:sz w:val="22"/>
        </w:rPr>
        <w:t>STEP</w:t>
      </w:r>
      <w:r w:rsidRPr="613652DB">
        <w:rPr>
          <w:rFonts w:asciiTheme="minorHAnsi" w:hAnsiTheme="minorHAnsi"/>
          <w:sz w:val="22"/>
        </w:rPr>
        <w:t xml:space="preserve"> Funding the setting has implemented universal and targeted SEN Support through a graduated approach</w:t>
      </w:r>
      <w:r w:rsidR="000E5473" w:rsidRPr="613652DB">
        <w:rPr>
          <w:rFonts w:asciiTheme="minorHAnsi" w:hAnsiTheme="minorHAnsi"/>
          <w:sz w:val="22"/>
        </w:rPr>
        <w:t xml:space="preserve"> </w:t>
      </w:r>
      <w:r w:rsidRPr="613652DB">
        <w:rPr>
          <w:rFonts w:asciiTheme="minorHAnsi" w:hAnsiTheme="minorHAnsi"/>
          <w:sz w:val="22"/>
        </w:rPr>
        <w:t>as set out in the South Tyneside Ranges 2022 document</w:t>
      </w:r>
      <w:r w:rsidR="00C36E20" w:rsidRPr="613652DB">
        <w:rPr>
          <w:rFonts w:asciiTheme="minorHAnsi" w:hAnsiTheme="minorHAnsi"/>
          <w:sz w:val="22"/>
        </w:rPr>
        <w:t xml:space="preserve"> and the OAP guide</w:t>
      </w:r>
      <w:r w:rsidRPr="613652DB">
        <w:rPr>
          <w:rFonts w:asciiTheme="minorHAnsi" w:hAnsiTheme="minorHAnsi"/>
          <w:sz w:val="22"/>
        </w:rPr>
        <w:t>.</w:t>
      </w:r>
    </w:p>
    <w:p w14:paraId="1AAF92C4" w14:textId="685896F2" w:rsidR="00170780" w:rsidRDefault="00170780" w:rsidP="00170780">
      <w:pPr>
        <w:jc w:val="both"/>
        <w:rPr>
          <w:rFonts w:asciiTheme="minorHAnsi" w:hAnsiTheme="minorHAnsi" w:cstheme="minorHAnsi"/>
          <w:bCs/>
          <w:iCs/>
          <w:sz w:val="22"/>
        </w:rPr>
      </w:pPr>
      <w:r w:rsidRPr="00546E32">
        <w:rPr>
          <w:rFonts w:asciiTheme="minorHAnsi" w:hAnsiTheme="minorHAnsi" w:cstheme="minorHAnsi"/>
          <w:bCs/>
          <w:iCs/>
          <w:sz w:val="22"/>
        </w:rPr>
        <w:t xml:space="preserve">Input should be sought from relevant professionals where appropriate, e.g. Educational Psychology Service, </w:t>
      </w:r>
      <w:r w:rsidR="00E37ECD">
        <w:rPr>
          <w:rFonts w:asciiTheme="minorHAnsi" w:hAnsiTheme="minorHAnsi" w:cstheme="minorHAnsi"/>
          <w:bCs/>
          <w:iCs/>
          <w:sz w:val="22"/>
        </w:rPr>
        <w:t>the Inclusion Service</w:t>
      </w:r>
      <w:r w:rsidRPr="00546E32">
        <w:rPr>
          <w:rFonts w:asciiTheme="minorHAnsi" w:hAnsiTheme="minorHAnsi" w:cstheme="minorHAnsi"/>
          <w:bCs/>
          <w:iCs/>
          <w:sz w:val="22"/>
        </w:rPr>
        <w:t>, Portage and Preschool, etc with recommendations delivered and monitored for impact.</w:t>
      </w:r>
    </w:p>
    <w:p w14:paraId="032826D3" w14:textId="77777777" w:rsidR="0004251F" w:rsidRDefault="0004251F" w:rsidP="0004251F">
      <w:pPr>
        <w:jc w:val="both"/>
        <w:rPr>
          <w:rFonts w:asciiTheme="minorHAnsi" w:hAnsiTheme="minorHAnsi" w:cstheme="minorHAnsi"/>
          <w:bCs/>
          <w:iCs/>
          <w:sz w:val="22"/>
        </w:rPr>
      </w:pPr>
      <w:r>
        <w:rPr>
          <w:rFonts w:asciiTheme="minorHAnsi" w:hAnsiTheme="minorHAnsi" w:cstheme="minorHAnsi"/>
          <w:bCs/>
          <w:iCs/>
          <w:sz w:val="22"/>
        </w:rPr>
        <w:t>Following consultation with settings we have aimed to reduce the administrative burden by utilising information they already have. Making a request involves:</w:t>
      </w:r>
    </w:p>
    <w:p w14:paraId="38738BF7" w14:textId="147939EE" w:rsidR="000E5473" w:rsidRPr="00D662AD" w:rsidRDefault="000E5473" w:rsidP="00BE08A9">
      <w:pPr>
        <w:pStyle w:val="ListParagraph"/>
        <w:numPr>
          <w:ilvl w:val="0"/>
          <w:numId w:val="3"/>
        </w:numPr>
        <w:ind w:left="567"/>
        <w:rPr>
          <w:rFonts w:asciiTheme="minorHAnsi" w:hAnsiTheme="minorHAnsi" w:cstheme="minorHAnsi"/>
          <w:bCs/>
          <w:iCs/>
          <w:sz w:val="22"/>
        </w:rPr>
      </w:pPr>
      <w:r w:rsidRPr="00D662AD">
        <w:rPr>
          <w:rFonts w:asciiTheme="minorHAnsi" w:hAnsiTheme="minorHAnsi" w:cstheme="minorHAnsi"/>
          <w:bCs/>
          <w:iCs/>
          <w:sz w:val="22"/>
        </w:rPr>
        <w:t xml:space="preserve">Completing the </w:t>
      </w:r>
      <w:r w:rsidR="00A11F03">
        <w:rPr>
          <w:rFonts w:asciiTheme="minorHAnsi" w:hAnsiTheme="minorHAnsi" w:cstheme="minorHAnsi"/>
          <w:bCs/>
          <w:iCs/>
          <w:sz w:val="22"/>
        </w:rPr>
        <w:t>STEP Funding</w:t>
      </w:r>
      <w:r w:rsidRPr="00D662AD">
        <w:rPr>
          <w:rFonts w:asciiTheme="minorHAnsi" w:hAnsiTheme="minorHAnsi" w:cstheme="minorHAnsi"/>
          <w:bCs/>
          <w:iCs/>
          <w:sz w:val="22"/>
        </w:rPr>
        <w:t xml:space="preserve"> Request form which includes details of past and current attainment, with a clear, succinct description of the child’s SEN. </w:t>
      </w:r>
    </w:p>
    <w:p w14:paraId="634F829F" w14:textId="77557A66" w:rsidR="00170780" w:rsidRPr="00D662AD" w:rsidRDefault="00A11F03" w:rsidP="00BE08A9">
      <w:pPr>
        <w:pStyle w:val="ListParagraph"/>
        <w:numPr>
          <w:ilvl w:val="0"/>
          <w:numId w:val="3"/>
        </w:numPr>
        <w:ind w:left="567"/>
        <w:rPr>
          <w:rFonts w:asciiTheme="minorHAnsi" w:hAnsiTheme="minorHAnsi" w:cstheme="minorHAnsi"/>
          <w:bCs/>
          <w:iCs/>
          <w:sz w:val="22"/>
        </w:rPr>
      </w:pPr>
      <w:r>
        <w:rPr>
          <w:rFonts w:asciiTheme="minorHAnsi" w:hAnsiTheme="minorHAnsi" w:cstheme="minorHAnsi"/>
          <w:bCs/>
          <w:iCs/>
          <w:sz w:val="22"/>
        </w:rPr>
        <w:t xml:space="preserve">Timetable outlining interventions/strategies being implemented beyond OAP. </w:t>
      </w:r>
      <w:r w:rsidR="00743E23" w:rsidRPr="00743E23">
        <w:rPr>
          <w:rFonts w:asciiTheme="minorHAnsi" w:hAnsiTheme="minorHAnsi" w:cstheme="minorHAnsi"/>
          <w:bCs/>
          <w:iCs/>
          <w:sz w:val="18"/>
          <w:szCs w:val="18"/>
        </w:rPr>
        <w:t>(See STEP Funding Timetable Exemplar)</w:t>
      </w:r>
    </w:p>
    <w:p w14:paraId="67D84F19" w14:textId="099EBFF5" w:rsidR="00142783" w:rsidRPr="00D662AD" w:rsidRDefault="000E5473" w:rsidP="00BE08A9">
      <w:pPr>
        <w:pStyle w:val="ListParagraph"/>
        <w:numPr>
          <w:ilvl w:val="0"/>
          <w:numId w:val="3"/>
        </w:numPr>
        <w:ind w:left="567"/>
        <w:rPr>
          <w:rFonts w:asciiTheme="minorHAnsi" w:hAnsiTheme="minorHAnsi" w:cstheme="minorHAnsi"/>
          <w:bCs/>
          <w:iCs/>
          <w:sz w:val="18"/>
          <w:szCs w:val="18"/>
        </w:rPr>
      </w:pPr>
      <w:r w:rsidRPr="00D662AD">
        <w:rPr>
          <w:rFonts w:asciiTheme="minorHAnsi" w:hAnsiTheme="minorHAnsi" w:cstheme="minorHAnsi"/>
          <w:bCs/>
          <w:iCs/>
          <w:sz w:val="22"/>
        </w:rPr>
        <w:t xml:space="preserve">Providing copies of supporting information </w:t>
      </w:r>
      <w:r w:rsidRPr="00D662AD">
        <w:rPr>
          <w:rFonts w:asciiTheme="minorHAnsi" w:hAnsiTheme="minorHAnsi" w:cstheme="minorHAnsi"/>
          <w:bCs/>
          <w:iCs/>
          <w:sz w:val="18"/>
          <w:szCs w:val="18"/>
        </w:rPr>
        <w:t>(examples of relevant supporting information provided</w:t>
      </w:r>
      <w:r w:rsidR="00BE08A9">
        <w:rPr>
          <w:rFonts w:asciiTheme="minorHAnsi" w:hAnsiTheme="minorHAnsi" w:cstheme="minorHAnsi"/>
          <w:bCs/>
          <w:iCs/>
          <w:sz w:val="18"/>
          <w:szCs w:val="18"/>
        </w:rPr>
        <w:t xml:space="preserve"> below)</w:t>
      </w:r>
      <w:r w:rsidR="00602560">
        <w:rPr>
          <w:rFonts w:asciiTheme="minorHAnsi" w:hAnsiTheme="minorHAnsi" w:cstheme="minorHAnsi"/>
          <w:bCs/>
          <w:iCs/>
          <w:sz w:val="18"/>
          <w:szCs w:val="18"/>
        </w:rPr>
        <w:t>.</w:t>
      </w:r>
    </w:p>
    <w:p w14:paraId="5B0D82B1" w14:textId="4385B193" w:rsidR="000E5473" w:rsidRDefault="000E5473" w:rsidP="00BE08A9">
      <w:pPr>
        <w:pStyle w:val="ListParagraph"/>
        <w:numPr>
          <w:ilvl w:val="0"/>
          <w:numId w:val="3"/>
        </w:numPr>
        <w:ind w:left="567"/>
        <w:rPr>
          <w:rFonts w:asciiTheme="minorHAnsi" w:hAnsiTheme="minorHAnsi" w:cstheme="minorHAnsi"/>
          <w:bCs/>
          <w:iCs/>
          <w:sz w:val="22"/>
        </w:rPr>
      </w:pPr>
      <w:r w:rsidRPr="00D662AD">
        <w:rPr>
          <w:rFonts w:asciiTheme="minorHAnsi" w:hAnsiTheme="minorHAnsi" w:cstheme="minorHAnsi"/>
          <w:bCs/>
          <w:iCs/>
          <w:sz w:val="22"/>
        </w:rPr>
        <w:t>Agreement of implementation o</w:t>
      </w:r>
      <w:r w:rsidR="00D662AD" w:rsidRPr="00D662AD">
        <w:rPr>
          <w:rFonts w:asciiTheme="minorHAnsi" w:hAnsiTheme="minorHAnsi" w:cstheme="minorHAnsi"/>
          <w:bCs/>
          <w:iCs/>
          <w:sz w:val="22"/>
        </w:rPr>
        <w:t xml:space="preserve">f support/intervention and providing report to evidence the impact this has had on the child’s </w:t>
      </w:r>
      <w:r w:rsidR="007F7619" w:rsidRPr="00D662AD">
        <w:rPr>
          <w:rFonts w:asciiTheme="minorHAnsi" w:hAnsiTheme="minorHAnsi" w:cstheme="minorHAnsi"/>
          <w:bCs/>
          <w:iCs/>
          <w:sz w:val="22"/>
        </w:rPr>
        <w:t>progress.</w:t>
      </w:r>
    </w:p>
    <w:p w14:paraId="5326C4C5" w14:textId="77777777" w:rsidR="007961AE" w:rsidRDefault="007961AE" w:rsidP="007961AE">
      <w:pPr>
        <w:pStyle w:val="Heading3"/>
      </w:pPr>
      <w:r w:rsidRPr="00DE7F16">
        <w:rPr>
          <w:sz w:val="22"/>
          <w:szCs w:val="22"/>
        </w:rPr>
        <w:t>Application</w:t>
      </w:r>
      <w:r>
        <w:t xml:space="preserve"> Windows</w:t>
      </w:r>
    </w:p>
    <w:p w14:paraId="115799C7" w14:textId="77777777" w:rsidR="007961AE" w:rsidRDefault="007961AE" w:rsidP="007961AE">
      <w:pPr>
        <w:jc w:val="both"/>
        <w:rPr>
          <w:rFonts w:asciiTheme="minorHAnsi" w:hAnsiTheme="minorHAnsi" w:cstheme="minorHAnsi"/>
          <w:bCs/>
          <w:iCs/>
          <w:sz w:val="22"/>
        </w:rPr>
      </w:pPr>
      <w:r>
        <w:rPr>
          <w:rFonts w:asciiTheme="minorHAnsi" w:hAnsiTheme="minorHAnsi" w:cstheme="minorHAnsi"/>
          <w:bCs/>
          <w:iCs/>
          <w:sz w:val="22"/>
        </w:rPr>
        <w:t>Applications will only be accepted during the application window for each term, if you do not submit the application during this window, you will not be able to apply until the following window.</w:t>
      </w:r>
    </w:p>
    <w:p w14:paraId="68B32375" w14:textId="77777777" w:rsidR="007961AE" w:rsidRDefault="007961AE" w:rsidP="007961AE">
      <w:pPr>
        <w:jc w:val="both"/>
        <w:rPr>
          <w:rFonts w:asciiTheme="minorHAnsi" w:hAnsiTheme="minorHAnsi" w:cstheme="minorHAnsi"/>
          <w:bCs/>
          <w:iCs/>
          <w:sz w:val="22"/>
        </w:rPr>
      </w:pPr>
      <w:r>
        <w:rPr>
          <w:rFonts w:asciiTheme="minorHAnsi" w:hAnsiTheme="minorHAnsi" w:cstheme="minorHAnsi"/>
          <w:bCs/>
          <w:iCs/>
          <w:sz w:val="22"/>
        </w:rPr>
        <w:t xml:space="preserve">Funding may be backdated to the beginning of the term in which the window you are applying only.  </w:t>
      </w:r>
    </w:p>
    <w:tbl>
      <w:tblPr>
        <w:tblStyle w:val="TableGrid"/>
        <w:tblW w:w="0" w:type="auto"/>
        <w:tblLook w:val="04A0" w:firstRow="1" w:lastRow="0" w:firstColumn="1" w:lastColumn="0" w:noHBand="0" w:noVBand="1"/>
      </w:tblPr>
      <w:tblGrid>
        <w:gridCol w:w="1696"/>
        <w:gridCol w:w="3660"/>
        <w:gridCol w:w="3660"/>
      </w:tblGrid>
      <w:tr w:rsidR="007F7619" w14:paraId="19D5B805" w14:textId="77777777" w:rsidTr="00426D50">
        <w:trPr>
          <w:trHeight w:val="397"/>
        </w:trPr>
        <w:tc>
          <w:tcPr>
            <w:tcW w:w="1696" w:type="dxa"/>
            <w:tcBorders>
              <w:top w:val="single" w:sz="4" w:space="0" w:color="FFFFFF"/>
              <w:left w:val="single" w:sz="4" w:space="0" w:color="FFFFFF"/>
            </w:tcBorders>
            <w:shd w:val="clear" w:color="auto" w:fill="auto"/>
            <w:vAlign w:val="center"/>
          </w:tcPr>
          <w:p w14:paraId="03359C5F" w14:textId="0CAB773B" w:rsidR="007F7619" w:rsidRDefault="007F7619" w:rsidP="00426D50">
            <w:pPr>
              <w:jc w:val="right"/>
              <w:rPr>
                <w:rFonts w:asciiTheme="minorHAnsi" w:hAnsiTheme="minorHAnsi" w:cstheme="minorHAnsi"/>
                <w:bCs/>
                <w:iCs/>
                <w:sz w:val="22"/>
              </w:rPr>
            </w:pPr>
          </w:p>
        </w:tc>
        <w:tc>
          <w:tcPr>
            <w:tcW w:w="3660" w:type="dxa"/>
            <w:shd w:val="clear" w:color="auto" w:fill="F2F2F2" w:themeFill="background1" w:themeFillShade="F2"/>
            <w:vAlign w:val="center"/>
          </w:tcPr>
          <w:p w14:paraId="3ABC9000" w14:textId="2CE2BB6B" w:rsidR="007F7619" w:rsidRDefault="007F7619" w:rsidP="00426D50">
            <w:pPr>
              <w:jc w:val="center"/>
              <w:rPr>
                <w:rFonts w:asciiTheme="minorHAnsi" w:hAnsiTheme="minorHAnsi" w:cstheme="minorHAnsi"/>
                <w:bCs/>
                <w:iCs/>
                <w:sz w:val="22"/>
              </w:rPr>
            </w:pPr>
            <w:r>
              <w:rPr>
                <w:rFonts w:asciiTheme="minorHAnsi" w:hAnsiTheme="minorHAnsi" w:cstheme="minorHAnsi"/>
                <w:bCs/>
                <w:iCs/>
                <w:sz w:val="22"/>
              </w:rPr>
              <w:t>Applications Open</w:t>
            </w:r>
          </w:p>
        </w:tc>
        <w:tc>
          <w:tcPr>
            <w:tcW w:w="3660" w:type="dxa"/>
            <w:shd w:val="clear" w:color="auto" w:fill="F2F2F2" w:themeFill="background1" w:themeFillShade="F2"/>
            <w:vAlign w:val="center"/>
          </w:tcPr>
          <w:p w14:paraId="6EED1F46" w14:textId="596B9475" w:rsidR="007F7619" w:rsidRDefault="007F7619" w:rsidP="00426D50">
            <w:pPr>
              <w:jc w:val="center"/>
              <w:rPr>
                <w:rFonts w:asciiTheme="minorHAnsi" w:hAnsiTheme="minorHAnsi" w:cstheme="minorHAnsi"/>
                <w:bCs/>
                <w:iCs/>
                <w:sz w:val="22"/>
              </w:rPr>
            </w:pPr>
            <w:r>
              <w:rPr>
                <w:rFonts w:asciiTheme="minorHAnsi" w:hAnsiTheme="minorHAnsi" w:cstheme="minorHAnsi"/>
                <w:bCs/>
                <w:iCs/>
                <w:sz w:val="22"/>
              </w:rPr>
              <w:t>Applications Close</w:t>
            </w:r>
          </w:p>
        </w:tc>
      </w:tr>
      <w:tr w:rsidR="007F7619" w14:paraId="3C003C8F" w14:textId="77777777" w:rsidTr="00426D50">
        <w:trPr>
          <w:trHeight w:val="397"/>
        </w:trPr>
        <w:tc>
          <w:tcPr>
            <w:tcW w:w="1696" w:type="dxa"/>
            <w:shd w:val="clear" w:color="auto" w:fill="F2F2F2" w:themeFill="background1" w:themeFillShade="F2"/>
            <w:vAlign w:val="center"/>
          </w:tcPr>
          <w:p w14:paraId="74372299" w14:textId="2909B8CC" w:rsidR="007F7619" w:rsidRDefault="007F7619" w:rsidP="00426D50">
            <w:pPr>
              <w:jc w:val="right"/>
              <w:rPr>
                <w:rFonts w:asciiTheme="minorHAnsi" w:hAnsiTheme="minorHAnsi" w:cstheme="minorHAnsi"/>
                <w:bCs/>
                <w:iCs/>
                <w:sz w:val="22"/>
              </w:rPr>
            </w:pPr>
            <w:r>
              <w:rPr>
                <w:rFonts w:asciiTheme="minorHAnsi" w:hAnsiTheme="minorHAnsi" w:cstheme="minorHAnsi"/>
                <w:bCs/>
                <w:iCs/>
                <w:sz w:val="22"/>
              </w:rPr>
              <w:t>Window 1</w:t>
            </w:r>
          </w:p>
        </w:tc>
        <w:tc>
          <w:tcPr>
            <w:tcW w:w="3660" w:type="dxa"/>
            <w:vAlign w:val="center"/>
          </w:tcPr>
          <w:p w14:paraId="02373E33" w14:textId="2A6E2391" w:rsidR="007F7619" w:rsidRDefault="00E23E2D" w:rsidP="00426D50">
            <w:pPr>
              <w:jc w:val="center"/>
              <w:rPr>
                <w:rFonts w:asciiTheme="minorHAnsi" w:hAnsiTheme="minorHAnsi" w:cstheme="minorHAnsi"/>
                <w:bCs/>
                <w:iCs/>
                <w:sz w:val="22"/>
              </w:rPr>
            </w:pPr>
            <w:r>
              <w:rPr>
                <w:rFonts w:asciiTheme="minorHAnsi" w:hAnsiTheme="minorHAnsi" w:cstheme="minorHAnsi"/>
                <w:bCs/>
                <w:iCs/>
                <w:sz w:val="22"/>
              </w:rPr>
              <w:t>2</w:t>
            </w:r>
            <w:r w:rsidRPr="00E23E2D">
              <w:rPr>
                <w:rFonts w:asciiTheme="minorHAnsi" w:hAnsiTheme="minorHAnsi" w:cstheme="minorHAnsi"/>
                <w:bCs/>
                <w:iCs/>
                <w:sz w:val="22"/>
                <w:vertAlign w:val="superscript"/>
              </w:rPr>
              <w:t>nd</w:t>
            </w:r>
            <w:r>
              <w:rPr>
                <w:rFonts w:asciiTheme="minorHAnsi" w:hAnsiTheme="minorHAnsi" w:cstheme="minorHAnsi"/>
                <w:bCs/>
                <w:iCs/>
                <w:sz w:val="22"/>
              </w:rPr>
              <w:t xml:space="preserve"> </w:t>
            </w:r>
            <w:r w:rsidR="009E24D2">
              <w:rPr>
                <w:rFonts w:asciiTheme="minorHAnsi" w:hAnsiTheme="minorHAnsi" w:cstheme="minorHAnsi"/>
                <w:bCs/>
                <w:iCs/>
                <w:sz w:val="22"/>
              </w:rPr>
              <w:t>September 202</w:t>
            </w:r>
            <w:r w:rsidR="00A11F03">
              <w:rPr>
                <w:rFonts w:asciiTheme="minorHAnsi" w:hAnsiTheme="minorHAnsi" w:cstheme="minorHAnsi"/>
                <w:bCs/>
                <w:iCs/>
                <w:sz w:val="22"/>
              </w:rPr>
              <w:t>4</w:t>
            </w:r>
          </w:p>
        </w:tc>
        <w:tc>
          <w:tcPr>
            <w:tcW w:w="3660" w:type="dxa"/>
            <w:vAlign w:val="center"/>
          </w:tcPr>
          <w:p w14:paraId="1C59CC53" w14:textId="3C56DAC4" w:rsidR="007F7619" w:rsidRDefault="00426D50" w:rsidP="00426D50">
            <w:pPr>
              <w:jc w:val="center"/>
              <w:rPr>
                <w:rFonts w:asciiTheme="minorHAnsi" w:hAnsiTheme="minorHAnsi" w:cstheme="minorHAnsi"/>
                <w:bCs/>
                <w:iCs/>
                <w:sz w:val="22"/>
              </w:rPr>
            </w:pPr>
            <w:r>
              <w:rPr>
                <w:rFonts w:asciiTheme="minorHAnsi" w:hAnsiTheme="minorHAnsi" w:cstheme="minorHAnsi"/>
                <w:bCs/>
                <w:iCs/>
                <w:sz w:val="22"/>
              </w:rPr>
              <w:t xml:space="preserve">Friday </w:t>
            </w:r>
            <w:r w:rsidR="00E23E2D">
              <w:rPr>
                <w:rFonts w:asciiTheme="minorHAnsi" w:hAnsiTheme="minorHAnsi" w:cstheme="minorHAnsi"/>
                <w:bCs/>
                <w:iCs/>
                <w:sz w:val="22"/>
              </w:rPr>
              <w:t>4</w:t>
            </w:r>
            <w:r w:rsidR="00E23E2D" w:rsidRPr="00E23E2D">
              <w:rPr>
                <w:rFonts w:asciiTheme="minorHAnsi" w:hAnsiTheme="minorHAnsi" w:cstheme="minorHAnsi"/>
                <w:bCs/>
                <w:iCs/>
                <w:sz w:val="22"/>
                <w:vertAlign w:val="superscript"/>
              </w:rPr>
              <w:t>th</w:t>
            </w:r>
            <w:r w:rsidR="009E24D2">
              <w:rPr>
                <w:rFonts w:asciiTheme="minorHAnsi" w:hAnsiTheme="minorHAnsi" w:cstheme="minorHAnsi"/>
                <w:bCs/>
                <w:iCs/>
                <w:sz w:val="22"/>
              </w:rPr>
              <w:t xml:space="preserve"> October 202</w:t>
            </w:r>
            <w:r w:rsidR="00A11F03">
              <w:rPr>
                <w:rFonts w:asciiTheme="minorHAnsi" w:hAnsiTheme="minorHAnsi" w:cstheme="minorHAnsi"/>
                <w:bCs/>
                <w:iCs/>
                <w:sz w:val="22"/>
              </w:rPr>
              <w:t>4</w:t>
            </w:r>
          </w:p>
        </w:tc>
      </w:tr>
      <w:tr w:rsidR="007F7619" w14:paraId="53570185" w14:textId="77777777" w:rsidTr="00426D50">
        <w:trPr>
          <w:trHeight w:val="397"/>
        </w:trPr>
        <w:tc>
          <w:tcPr>
            <w:tcW w:w="1696" w:type="dxa"/>
            <w:shd w:val="clear" w:color="auto" w:fill="F2F2F2" w:themeFill="background1" w:themeFillShade="F2"/>
            <w:vAlign w:val="center"/>
          </w:tcPr>
          <w:p w14:paraId="37014766" w14:textId="50317A9E" w:rsidR="007F7619" w:rsidRDefault="007F7619" w:rsidP="00426D50">
            <w:pPr>
              <w:jc w:val="right"/>
              <w:rPr>
                <w:rFonts w:asciiTheme="minorHAnsi" w:hAnsiTheme="minorHAnsi" w:cstheme="minorHAnsi"/>
                <w:bCs/>
                <w:iCs/>
                <w:sz w:val="22"/>
              </w:rPr>
            </w:pPr>
            <w:r>
              <w:rPr>
                <w:rFonts w:asciiTheme="minorHAnsi" w:hAnsiTheme="minorHAnsi" w:cstheme="minorHAnsi"/>
                <w:bCs/>
                <w:iCs/>
                <w:sz w:val="22"/>
              </w:rPr>
              <w:t>Window 2</w:t>
            </w:r>
          </w:p>
        </w:tc>
        <w:tc>
          <w:tcPr>
            <w:tcW w:w="3660" w:type="dxa"/>
            <w:vAlign w:val="center"/>
          </w:tcPr>
          <w:p w14:paraId="471CD4A5" w14:textId="25108CC6" w:rsidR="007F7619" w:rsidRDefault="005E79B0" w:rsidP="00426D50">
            <w:pPr>
              <w:jc w:val="center"/>
              <w:rPr>
                <w:rFonts w:asciiTheme="minorHAnsi" w:hAnsiTheme="minorHAnsi" w:cstheme="minorHAnsi"/>
                <w:bCs/>
                <w:iCs/>
                <w:sz w:val="22"/>
              </w:rPr>
            </w:pPr>
            <w:r>
              <w:rPr>
                <w:rFonts w:asciiTheme="minorHAnsi" w:hAnsiTheme="minorHAnsi" w:cstheme="minorHAnsi"/>
                <w:bCs/>
                <w:iCs/>
                <w:sz w:val="22"/>
              </w:rPr>
              <w:t xml:space="preserve">Monday </w:t>
            </w:r>
            <w:r w:rsidR="00E23E2D">
              <w:rPr>
                <w:rFonts w:asciiTheme="minorHAnsi" w:hAnsiTheme="minorHAnsi" w:cstheme="minorHAnsi"/>
                <w:bCs/>
                <w:iCs/>
                <w:sz w:val="22"/>
              </w:rPr>
              <w:t>6</w:t>
            </w:r>
            <w:r w:rsidR="00E23E2D" w:rsidRPr="00E23E2D">
              <w:rPr>
                <w:rFonts w:asciiTheme="minorHAnsi" w:hAnsiTheme="minorHAnsi" w:cstheme="minorHAnsi"/>
                <w:bCs/>
                <w:iCs/>
                <w:sz w:val="22"/>
                <w:vertAlign w:val="superscript"/>
              </w:rPr>
              <w:t>th</w:t>
            </w:r>
            <w:r w:rsidR="009E24D2">
              <w:rPr>
                <w:rFonts w:asciiTheme="minorHAnsi" w:hAnsiTheme="minorHAnsi" w:cstheme="minorHAnsi"/>
                <w:bCs/>
                <w:iCs/>
                <w:sz w:val="22"/>
              </w:rPr>
              <w:t xml:space="preserve"> January 202</w:t>
            </w:r>
            <w:r w:rsidR="00A11F03">
              <w:rPr>
                <w:rFonts w:asciiTheme="minorHAnsi" w:hAnsiTheme="minorHAnsi" w:cstheme="minorHAnsi"/>
                <w:bCs/>
                <w:iCs/>
                <w:sz w:val="22"/>
              </w:rPr>
              <w:t>5</w:t>
            </w:r>
          </w:p>
        </w:tc>
        <w:tc>
          <w:tcPr>
            <w:tcW w:w="3660" w:type="dxa"/>
            <w:vAlign w:val="center"/>
          </w:tcPr>
          <w:p w14:paraId="38168772" w14:textId="68D7658D" w:rsidR="007F7619" w:rsidRDefault="005E79B0" w:rsidP="00426D50">
            <w:pPr>
              <w:jc w:val="center"/>
              <w:rPr>
                <w:rFonts w:asciiTheme="minorHAnsi" w:hAnsiTheme="minorHAnsi" w:cstheme="minorHAnsi"/>
                <w:bCs/>
                <w:iCs/>
                <w:sz w:val="22"/>
              </w:rPr>
            </w:pPr>
            <w:r>
              <w:rPr>
                <w:rFonts w:asciiTheme="minorHAnsi" w:hAnsiTheme="minorHAnsi" w:cstheme="minorHAnsi"/>
                <w:bCs/>
                <w:iCs/>
                <w:sz w:val="22"/>
              </w:rPr>
              <w:t xml:space="preserve">Friday </w:t>
            </w:r>
            <w:r w:rsidR="00E23E2D">
              <w:rPr>
                <w:rFonts w:asciiTheme="minorHAnsi" w:hAnsiTheme="minorHAnsi" w:cstheme="minorHAnsi"/>
                <w:bCs/>
                <w:iCs/>
                <w:sz w:val="22"/>
              </w:rPr>
              <w:t>31</w:t>
            </w:r>
            <w:r w:rsidR="00E23E2D" w:rsidRPr="00E23E2D">
              <w:rPr>
                <w:rFonts w:asciiTheme="minorHAnsi" w:hAnsiTheme="minorHAnsi" w:cstheme="minorHAnsi"/>
                <w:bCs/>
                <w:iCs/>
                <w:sz w:val="22"/>
                <w:vertAlign w:val="superscript"/>
              </w:rPr>
              <w:t>st</w:t>
            </w:r>
            <w:r w:rsidR="00E23E2D">
              <w:rPr>
                <w:rFonts w:asciiTheme="minorHAnsi" w:hAnsiTheme="minorHAnsi" w:cstheme="minorHAnsi"/>
                <w:bCs/>
                <w:iCs/>
                <w:sz w:val="22"/>
              </w:rPr>
              <w:t xml:space="preserve"> January</w:t>
            </w:r>
            <w:r w:rsidR="00D54528">
              <w:rPr>
                <w:rFonts w:asciiTheme="minorHAnsi" w:hAnsiTheme="minorHAnsi" w:cstheme="minorHAnsi"/>
                <w:bCs/>
                <w:iCs/>
                <w:sz w:val="22"/>
              </w:rPr>
              <w:t xml:space="preserve"> 202</w:t>
            </w:r>
            <w:r w:rsidR="00A11F03">
              <w:rPr>
                <w:rFonts w:asciiTheme="minorHAnsi" w:hAnsiTheme="minorHAnsi" w:cstheme="minorHAnsi"/>
                <w:bCs/>
                <w:iCs/>
                <w:sz w:val="22"/>
              </w:rPr>
              <w:t>5</w:t>
            </w:r>
          </w:p>
        </w:tc>
      </w:tr>
      <w:tr w:rsidR="007F7619" w14:paraId="2C985F8F" w14:textId="77777777" w:rsidTr="00426D50">
        <w:trPr>
          <w:trHeight w:val="397"/>
        </w:trPr>
        <w:tc>
          <w:tcPr>
            <w:tcW w:w="1696" w:type="dxa"/>
            <w:shd w:val="clear" w:color="auto" w:fill="F2F2F2" w:themeFill="background1" w:themeFillShade="F2"/>
            <w:vAlign w:val="center"/>
          </w:tcPr>
          <w:p w14:paraId="4BE234BD" w14:textId="5EC884C0" w:rsidR="007F7619" w:rsidRDefault="007F7619" w:rsidP="00426D50">
            <w:pPr>
              <w:jc w:val="right"/>
              <w:rPr>
                <w:rFonts w:asciiTheme="minorHAnsi" w:hAnsiTheme="minorHAnsi" w:cstheme="minorHAnsi"/>
                <w:bCs/>
                <w:iCs/>
                <w:sz w:val="22"/>
              </w:rPr>
            </w:pPr>
            <w:r>
              <w:rPr>
                <w:rFonts w:asciiTheme="minorHAnsi" w:hAnsiTheme="minorHAnsi" w:cstheme="minorHAnsi"/>
                <w:bCs/>
                <w:iCs/>
                <w:sz w:val="22"/>
              </w:rPr>
              <w:t>Window 3</w:t>
            </w:r>
          </w:p>
        </w:tc>
        <w:tc>
          <w:tcPr>
            <w:tcW w:w="3660" w:type="dxa"/>
            <w:vAlign w:val="center"/>
          </w:tcPr>
          <w:p w14:paraId="400E264E" w14:textId="7C694CCF" w:rsidR="007F7619" w:rsidRDefault="00FD3C0E" w:rsidP="00426D50">
            <w:pPr>
              <w:jc w:val="center"/>
              <w:rPr>
                <w:rFonts w:asciiTheme="minorHAnsi" w:hAnsiTheme="minorHAnsi" w:cstheme="minorHAnsi"/>
                <w:bCs/>
                <w:iCs/>
                <w:sz w:val="22"/>
              </w:rPr>
            </w:pPr>
            <w:r>
              <w:rPr>
                <w:rFonts w:asciiTheme="minorHAnsi" w:hAnsiTheme="minorHAnsi" w:cstheme="minorHAnsi"/>
                <w:bCs/>
                <w:iCs/>
                <w:sz w:val="22"/>
              </w:rPr>
              <w:t xml:space="preserve">Monday </w:t>
            </w:r>
            <w:r w:rsidR="00E23E2D">
              <w:rPr>
                <w:rFonts w:asciiTheme="minorHAnsi" w:hAnsiTheme="minorHAnsi" w:cstheme="minorHAnsi"/>
                <w:bCs/>
                <w:iCs/>
                <w:sz w:val="22"/>
              </w:rPr>
              <w:t>28</w:t>
            </w:r>
            <w:r w:rsidR="00E23E2D" w:rsidRPr="00E23E2D">
              <w:rPr>
                <w:rFonts w:asciiTheme="minorHAnsi" w:hAnsiTheme="minorHAnsi" w:cstheme="minorHAnsi"/>
                <w:bCs/>
                <w:iCs/>
                <w:sz w:val="22"/>
                <w:vertAlign w:val="superscript"/>
              </w:rPr>
              <w:t>th</w:t>
            </w:r>
            <w:r w:rsidR="00E23E2D">
              <w:rPr>
                <w:rFonts w:asciiTheme="minorHAnsi" w:hAnsiTheme="minorHAnsi" w:cstheme="minorHAnsi"/>
                <w:bCs/>
                <w:iCs/>
                <w:sz w:val="22"/>
              </w:rPr>
              <w:t xml:space="preserve"> April</w:t>
            </w:r>
            <w:r w:rsidR="00D54528">
              <w:rPr>
                <w:rFonts w:asciiTheme="minorHAnsi" w:hAnsiTheme="minorHAnsi" w:cstheme="minorHAnsi"/>
                <w:bCs/>
                <w:iCs/>
                <w:sz w:val="22"/>
              </w:rPr>
              <w:t xml:space="preserve"> 202</w:t>
            </w:r>
            <w:r w:rsidR="00A11F03">
              <w:rPr>
                <w:rFonts w:asciiTheme="minorHAnsi" w:hAnsiTheme="minorHAnsi" w:cstheme="minorHAnsi"/>
                <w:bCs/>
                <w:iCs/>
                <w:sz w:val="22"/>
              </w:rPr>
              <w:t>5</w:t>
            </w:r>
          </w:p>
        </w:tc>
        <w:tc>
          <w:tcPr>
            <w:tcW w:w="3660" w:type="dxa"/>
            <w:vAlign w:val="center"/>
          </w:tcPr>
          <w:p w14:paraId="79E04A89" w14:textId="1020E795" w:rsidR="007F7619" w:rsidRDefault="00FD3C0E" w:rsidP="00426D50">
            <w:pPr>
              <w:jc w:val="center"/>
              <w:rPr>
                <w:rFonts w:asciiTheme="minorHAnsi" w:hAnsiTheme="minorHAnsi" w:cstheme="minorHAnsi"/>
                <w:bCs/>
                <w:iCs/>
                <w:sz w:val="22"/>
              </w:rPr>
            </w:pPr>
            <w:r>
              <w:rPr>
                <w:rFonts w:asciiTheme="minorHAnsi" w:hAnsiTheme="minorHAnsi" w:cstheme="minorHAnsi"/>
                <w:bCs/>
                <w:iCs/>
                <w:sz w:val="22"/>
              </w:rPr>
              <w:t xml:space="preserve">Friday </w:t>
            </w:r>
            <w:r w:rsidR="00E23E2D">
              <w:rPr>
                <w:rFonts w:asciiTheme="minorHAnsi" w:hAnsiTheme="minorHAnsi" w:cstheme="minorHAnsi"/>
                <w:bCs/>
                <w:iCs/>
                <w:sz w:val="22"/>
              </w:rPr>
              <w:t>23</w:t>
            </w:r>
            <w:r w:rsidR="00E23E2D" w:rsidRPr="00E23E2D">
              <w:rPr>
                <w:rFonts w:asciiTheme="minorHAnsi" w:hAnsiTheme="minorHAnsi" w:cstheme="minorHAnsi"/>
                <w:bCs/>
                <w:iCs/>
                <w:sz w:val="22"/>
                <w:vertAlign w:val="superscript"/>
              </w:rPr>
              <w:t>rd</w:t>
            </w:r>
            <w:r>
              <w:rPr>
                <w:rFonts w:asciiTheme="minorHAnsi" w:hAnsiTheme="minorHAnsi" w:cstheme="minorHAnsi"/>
                <w:bCs/>
                <w:iCs/>
                <w:sz w:val="22"/>
              </w:rPr>
              <w:t xml:space="preserve"> May 202</w:t>
            </w:r>
            <w:r w:rsidR="00A11F03">
              <w:rPr>
                <w:rFonts w:asciiTheme="minorHAnsi" w:hAnsiTheme="minorHAnsi" w:cstheme="minorHAnsi"/>
                <w:bCs/>
                <w:iCs/>
                <w:sz w:val="22"/>
              </w:rPr>
              <w:t>5</w:t>
            </w:r>
          </w:p>
        </w:tc>
      </w:tr>
    </w:tbl>
    <w:p w14:paraId="5810BA88" w14:textId="77777777" w:rsidR="007961AE" w:rsidRPr="00400913" w:rsidRDefault="007961AE" w:rsidP="00EF45F2">
      <w:pPr>
        <w:spacing w:before="240"/>
        <w:jc w:val="both"/>
        <w:rPr>
          <w:rFonts w:asciiTheme="minorHAnsi" w:hAnsiTheme="minorHAnsi" w:cstheme="minorHAnsi"/>
          <w:b/>
          <w:iCs/>
          <w:sz w:val="22"/>
          <w:u w:val="single"/>
        </w:rPr>
      </w:pPr>
      <w:r w:rsidRPr="00400913">
        <w:rPr>
          <w:rFonts w:asciiTheme="minorHAnsi" w:hAnsiTheme="minorHAnsi" w:cstheme="minorHAnsi"/>
          <w:b/>
          <w:iCs/>
          <w:sz w:val="22"/>
          <w:u w:val="single"/>
        </w:rPr>
        <w:t xml:space="preserve">Applications should be submitted via secure e-mail with all evidence to: </w:t>
      </w:r>
      <w:hyperlink r:id="rId11" w:history="1">
        <w:r w:rsidRPr="00400913">
          <w:rPr>
            <w:rStyle w:val="Hyperlink"/>
            <w:rFonts w:asciiTheme="minorHAnsi" w:hAnsiTheme="minorHAnsi" w:cstheme="minorHAnsi"/>
            <w:b/>
            <w:iCs/>
            <w:sz w:val="22"/>
          </w:rPr>
          <w:t>sen@southtyneside.gov.uk</w:t>
        </w:r>
      </w:hyperlink>
      <w:r w:rsidRPr="00400913">
        <w:rPr>
          <w:rFonts w:asciiTheme="minorHAnsi" w:hAnsiTheme="minorHAnsi" w:cstheme="minorHAnsi"/>
          <w:b/>
          <w:iCs/>
          <w:sz w:val="22"/>
          <w:u w:val="single"/>
        </w:rPr>
        <w:t xml:space="preserve"> </w:t>
      </w:r>
    </w:p>
    <w:p w14:paraId="519EFC58" w14:textId="4D5B373E" w:rsidR="007961AE" w:rsidRPr="007961AE" w:rsidRDefault="007961AE" w:rsidP="007961AE">
      <w:pPr>
        <w:pStyle w:val="Heading2"/>
      </w:pPr>
      <w:r>
        <w:t xml:space="preserve">The Use Of </w:t>
      </w:r>
      <w:r w:rsidR="00A11F03">
        <w:t>STEP</w:t>
      </w:r>
      <w:r>
        <w:t xml:space="preserve"> Funding</w:t>
      </w:r>
    </w:p>
    <w:p w14:paraId="1F53C2C3" w14:textId="58668814" w:rsidR="00D662AD" w:rsidRDefault="00A11F03" w:rsidP="003D7F9A">
      <w:pPr>
        <w:jc w:val="both"/>
        <w:rPr>
          <w:rFonts w:asciiTheme="minorHAnsi" w:hAnsiTheme="minorHAnsi" w:cstheme="minorHAnsi"/>
          <w:bCs/>
          <w:iCs/>
          <w:sz w:val="22"/>
        </w:rPr>
      </w:pPr>
      <w:r>
        <w:rPr>
          <w:rFonts w:asciiTheme="minorHAnsi" w:hAnsiTheme="minorHAnsi" w:cstheme="minorHAnsi"/>
          <w:bCs/>
          <w:iCs/>
          <w:sz w:val="22"/>
        </w:rPr>
        <w:t>STEP</w:t>
      </w:r>
      <w:r w:rsidR="00D662AD">
        <w:rPr>
          <w:rFonts w:asciiTheme="minorHAnsi" w:hAnsiTheme="minorHAnsi" w:cstheme="minorHAnsi"/>
          <w:bCs/>
          <w:iCs/>
          <w:sz w:val="22"/>
        </w:rPr>
        <w:t xml:space="preserve"> Funding is not provided based on support hours. We encourage you to be creative and flexible in the use of funds when outlining your proposed use of funding. </w:t>
      </w:r>
    </w:p>
    <w:p w14:paraId="6978FE22" w14:textId="5760E86E" w:rsidR="00CF5D35" w:rsidRDefault="00CF5D35" w:rsidP="003D7F9A">
      <w:pPr>
        <w:jc w:val="both"/>
        <w:rPr>
          <w:rFonts w:asciiTheme="minorHAnsi" w:hAnsiTheme="minorHAnsi" w:cstheme="minorHAnsi"/>
          <w:bCs/>
          <w:iCs/>
          <w:sz w:val="22"/>
        </w:rPr>
      </w:pPr>
      <w:r>
        <w:rPr>
          <w:rFonts w:asciiTheme="minorHAnsi" w:hAnsiTheme="minorHAnsi" w:cstheme="minorHAnsi"/>
          <w:bCs/>
          <w:iCs/>
          <w:sz w:val="22"/>
        </w:rPr>
        <w:t>All proposed used of funding should be evidence-based and lead to a specific outcome for the child or young person to ensure they develop independence in learning.</w:t>
      </w:r>
    </w:p>
    <w:p w14:paraId="62D81A58" w14:textId="18FBF7B4" w:rsidR="00D662AD" w:rsidRDefault="00D662AD" w:rsidP="613652DB">
      <w:pPr>
        <w:jc w:val="both"/>
        <w:rPr>
          <w:rFonts w:asciiTheme="minorHAnsi" w:hAnsiTheme="minorHAnsi"/>
          <w:sz w:val="22"/>
        </w:rPr>
      </w:pPr>
      <w:r w:rsidRPr="613652DB">
        <w:rPr>
          <w:rFonts w:asciiTheme="minorHAnsi" w:hAnsiTheme="minorHAnsi"/>
          <w:sz w:val="22"/>
        </w:rPr>
        <w:t>Money may be spent on materials</w:t>
      </w:r>
      <w:r w:rsidR="00FB70BF" w:rsidRPr="613652DB">
        <w:rPr>
          <w:rFonts w:asciiTheme="minorHAnsi" w:hAnsiTheme="minorHAnsi"/>
          <w:sz w:val="22"/>
        </w:rPr>
        <w:t>,</w:t>
      </w:r>
      <w:r w:rsidR="00A940FF" w:rsidRPr="613652DB">
        <w:rPr>
          <w:rFonts w:asciiTheme="minorHAnsi" w:hAnsiTheme="minorHAnsi"/>
          <w:sz w:val="22"/>
        </w:rPr>
        <w:t xml:space="preserve"> resources,</w:t>
      </w:r>
      <w:r w:rsidR="00FB70BF" w:rsidRPr="613652DB">
        <w:rPr>
          <w:rFonts w:asciiTheme="minorHAnsi" w:hAnsiTheme="minorHAnsi"/>
          <w:sz w:val="22"/>
        </w:rPr>
        <w:t xml:space="preserve"> group support etc., where </w:t>
      </w:r>
      <w:r w:rsidR="00A940FF" w:rsidRPr="613652DB">
        <w:rPr>
          <w:rFonts w:asciiTheme="minorHAnsi" w:hAnsiTheme="minorHAnsi"/>
          <w:sz w:val="22"/>
        </w:rPr>
        <w:t xml:space="preserve">notional funding </w:t>
      </w:r>
      <w:r w:rsidR="08A88F59" w:rsidRPr="613652DB">
        <w:rPr>
          <w:rFonts w:asciiTheme="minorHAnsi" w:hAnsiTheme="minorHAnsi"/>
          <w:sz w:val="22"/>
        </w:rPr>
        <w:t>h</w:t>
      </w:r>
      <w:r w:rsidR="00A940FF" w:rsidRPr="613652DB">
        <w:rPr>
          <w:rFonts w:asciiTheme="minorHAnsi" w:hAnsiTheme="minorHAnsi"/>
          <w:sz w:val="22"/>
        </w:rPr>
        <w:t>as been exceeded</w:t>
      </w:r>
      <w:r w:rsidR="00CB7F3A" w:rsidRPr="613652DB">
        <w:rPr>
          <w:rFonts w:asciiTheme="minorHAnsi" w:hAnsiTheme="minorHAnsi"/>
          <w:sz w:val="22"/>
        </w:rPr>
        <w:t xml:space="preserve">, </w:t>
      </w:r>
      <w:r w:rsidR="0014592D">
        <w:rPr>
          <w:rFonts w:asciiTheme="minorHAnsi" w:hAnsiTheme="minorHAnsi"/>
          <w:sz w:val="22"/>
        </w:rPr>
        <w:t xml:space="preserve">if </w:t>
      </w:r>
      <w:r w:rsidR="00FB70BF" w:rsidRPr="613652DB">
        <w:rPr>
          <w:rFonts w:asciiTheme="minorHAnsi" w:hAnsiTheme="minorHAnsi"/>
          <w:sz w:val="22"/>
        </w:rPr>
        <w:t xml:space="preserve">it will improve the outcomes for the child and enable them to progress. </w:t>
      </w:r>
    </w:p>
    <w:p w14:paraId="17379D23" w14:textId="5CEBBABD" w:rsidR="00142783" w:rsidRPr="00142783" w:rsidRDefault="00142783" w:rsidP="00170780">
      <w:pPr>
        <w:pStyle w:val="Heading2"/>
      </w:pPr>
      <w:r w:rsidRPr="00142783">
        <w:lastRenderedPageBreak/>
        <w:t xml:space="preserve">Determining whether to allocate </w:t>
      </w:r>
      <w:r w:rsidR="00A11F03">
        <w:t>STEP</w:t>
      </w:r>
      <w:r w:rsidRPr="00142783">
        <w:t xml:space="preserve"> </w:t>
      </w:r>
      <w:r w:rsidR="00FB70BF">
        <w:t>F</w:t>
      </w:r>
      <w:r w:rsidRPr="00142783">
        <w:t>unding</w:t>
      </w:r>
    </w:p>
    <w:p w14:paraId="4982A1CA" w14:textId="01888931" w:rsidR="00142783" w:rsidRDefault="00142783" w:rsidP="003D7F9A">
      <w:pPr>
        <w:rPr>
          <w:rFonts w:asciiTheme="minorHAnsi" w:hAnsiTheme="minorHAnsi" w:cstheme="minorHAnsi"/>
          <w:bCs/>
          <w:iCs/>
          <w:sz w:val="22"/>
        </w:rPr>
      </w:pPr>
      <w:r>
        <w:rPr>
          <w:rFonts w:asciiTheme="minorHAnsi" w:hAnsiTheme="minorHAnsi" w:cstheme="minorHAnsi"/>
          <w:bCs/>
          <w:iCs/>
          <w:sz w:val="22"/>
        </w:rPr>
        <w:t xml:space="preserve">To ensure consistency of decision making, requests for </w:t>
      </w:r>
      <w:r w:rsidR="00A11F03">
        <w:rPr>
          <w:rFonts w:asciiTheme="minorHAnsi" w:hAnsiTheme="minorHAnsi" w:cstheme="minorHAnsi"/>
          <w:bCs/>
          <w:iCs/>
          <w:sz w:val="22"/>
        </w:rPr>
        <w:t>STEP</w:t>
      </w:r>
      <w:r>
        <w:rPr>
          <w:rFonts w:asciiTheme="minorHAnsi" w:hAnsiTheme="minorHAnsi" w:cstheme="minorHAnsi"/>
          <w:bCs/>
          <w:iCs/>
          <w:sz w:val="22"/>
        </w:rPr>
        <w:t xml:space="preserve"> Funding, will be considered by the </w:t>
      </w:r>
      <w:r w:rsidR="00A11F03">
        <w:rPr>
          <w:rFonts w:asciiTheme="minorHAnsi" w:hAnsiTheme="minorHAnsi" w:cstheme="minorHAnsi"/>
          <w:bCs/>
          <w:iCs/>
          <w:sz w:val="22"/>
        </w:rPr>
        <w:t>STEP</w:t>
      </w:r>
      <w:r>
        <w:rPr>
          <w:rFonts w:asciiTheme="minorHAnsi" w:hAnsiTheme="minorHAnsi" w:cstheme="minorHAnsi"/>
          <w:bCs/>
          <w:iCs/>
          <w:sz w:val="22"/>
        </w:rPr>
        <w:t xml:space="preserve"> Panel, made up of Local Authority Officers. </w:t>
      </w:r>
    </w:p>
    <w:p w14:paraId="0C44AC52" w14:textId="23D87FC7" w:rsidR="00142783" w:rsidRDefault="00142783" w:rsidP="003D7F9A">
      <w:pPr>
        <w:rPr>
          <w:rFonts w:asciiTheme="minorHAnsi" w:hAnsiTheme="minorHAnsi" w:cstheme="minorHAnsi"/>
          <w:bCs/>
          <w:iCs/>
          <w:sz w:val="22"/>
        </w:rPr>
      </w:pPr>
      <w:bookmarkStart w:id="0" w:name="_Hlk173838018"/>
      <w:r>
        <w:rPr>
          <w:rFonts w:asciiTheme="minorHAnsi" w:hAnsiTheme="minorHAnsi" w:cstheme="minorHAnsi"/>
          <w:bCs/>
          <w:iCs/>
          <w:sz w:val="22"/>
        </w:rPr>
        <w:t xml:space="preserve">When making the decision on whether to allocate </w:t>
      </w:r>
      <w:r w:rsidR="00A11F03">
        <w:rPr>
          <w:rFonts w:asciiTheme="minorHAnsi" w:hAnsiTheme="minorHAnsi" w:cstheme="minorHAnsi"/>
          <w:bCs/>
          <w:iCs/>
          <w:sz w:val="22"/>
        </w:rPr>
        <w:t>STEP</w:t>
      </w:r>
      <w:r>
        <w:rPr>
          <w:rFonts w:asciiTheme="minorHAnsi" w:hAnsiTheme="minorHAnsi" w:cstheme="minorHAnsi"/>
          <w:bCs/>
          <w:iCs/>
          <w:sz w:val="22"/>
        </w:rPr>
        <w:t xml:space="preserve"> Funding, the Panel will:</w:t>
      </w:r>
    </w:p>
    <w:p w14:paraId="5967E19B" w14:textId="2356901C" w:rsidR="00142783" w:rsidRDefault="00142783" w:rsidP="00BE08A9">
      <w:pPr>
        <w:pStyle w:val="ListParagraph"/>
        <w:numPr>
          <w:ilvl w:val="0"/>
          <w:numId w:val="1"/>
        </w:numPr>
        <w:ind w:left="567"/>
        <w:rPr>
          <w:rFonts w:asciiTheme="minorHAnsi" w:hAnsiTheme="minorHAnsi" w:cstheme="minorHAnsi"/>
          <w:bCs/>
          <w:iCs/>
          <w:sz w:val="22"/>
        </w:rPr>
      </w:pPr>
      <w:r w:rsidRPr="00142783">
        <w:rPr>
          <w:rFonts w:asciiTheme="minorHAnsi" w:hAnsiTheme="minorHAnsi" w:cstheme="minorHAnsi"/>
          <w:bCs/>
          <w:iCs/>
          <w:sz w:val="22"/>
        </w:rPr>
        <w:t xml:space="preserve">Assess how the setting has used the SEN Notional Budget and the graduated approach via detailed, targeted provision and how this has/has not supported the child to make progress. </w:t>
      </w:r>
    </w:p>
    <w:p w14:paraId="0C345476" w14:textId="37C63057" w:rsidR="00142783" w:rsidRPr="00142783" w:rsidRDefault="00142783" w:rsidP="00BE08A9">
      <w:pPr>
        <w:pStyle w:val="ListParagraph"/>
        <w:numPr>
          <w:ilvl w:val="0"/>
          <w:numId w:val="1"/>
        </w:numPr>
        <w:ind w:left="567"/>
        <w:rPr>
          <w:rFonts w:asciiTheme="minorHAnsi" w:hAnsiTheme="minorHAnsi" w:cstheme="minorHAnsi"/>
          <w:bCs/>
          <w:iCs/>
          <w:sz w:val="22"/>
        </w:rPr>
      </w:pPr>
      <w:r w:rsidRPr="00142783">
        <w:rPr>
          <w:rFonts w:asciiTheme="minorHAnsi" w:hAnsiTheme="minorHAnsi" w:cstheme="minorHAnsi"/>
          <w:bCs/>
          <w:iCs/>
          <w:sz w:val="22"/>
        </w:rPr>
        <w:t>Assess any involvement from other agencies and the implementation of recommendations they have provided and how this has/has not supported the child to make progress.</w:t>
      </w:r>
    </w:p>
    <w:p w14:paraId="5711E6B2" w14:textId="7E71112E" w:rsidR="00FB70BF" w:rsidRDefault="00FB70BF" w:rsidP="00BE08A9">
      <w:pPr>
        <w:pStyle w:val="ListParagraph"/>
        <w:numPr>
          <w:ilvl w:val="0"/>
          <w:numId w:val="1"/>
        </w:numPr>
        <w:ind w:left="567"/>
        <w:rPr>
          <w:rFonts w:asciiTheme="minorHAnsi" w:hAnsiTheme="minorHAnsi" w:cstheme="minorHAnsi"/>
          <w:bCs/>
          <w:iCs/>
          <w:sz w:val="22"/>
        </w:rPr>
      </w:pPr>
      <w:r>
        <w:rPr>
          <w:rFonts w:asciiTheme="minorHAnsi" w:hAnsiTheme="minorHAnsi" w:cstheme="minorHAnsi"/>
          <w:bCs/>
          <w:iCs/>
          <w:sz w:val="22"/>
        </w:rPr>
        <w:t xml:space="preserve">Determine the proposed provision is additional to or different from provision that would be ordinarily available. </w:t>
      </w:r>
    </w:p>
    <w:p w14:paraId="49D038D0" w14:textId="085539FF" w:rsidR="00142783" w:rsidRPr="00142783" w:rsidRDefault="00142783" w:rsidP="00BE08A9">
      <w:pPr>
        <w:pStyle w:val="ListParagraph"/>
        <w:numPr>
          <w:ilvl w:val="0"/>
          <w:numId w:val="1"/>
        </w:numPr>
        <w:ind w:left="567"/>
        <w:rPr>
          <w:rFonts w:asciiTheme="minorHAnsi" w:hAnsiTheme="minorHAnsi" w:cstheme="minorHAnsi"/>
          <w:bCs/>
          <w:iCs/>
          <w:sz w:val="22"/>
        </w:rPr>
      </w:pPr>
      <w:r w:rsidRPr="00142783">
        <w:rPr>
          <w:rFonts w:asciiTheme="minorHAnsi" w:hAnsiTheme="minorHAnsi" w:cstheme="minorHAnsi"/>
          <w:bCs/>
          <w:iCs/>
          <w:sz w:val="22"/>
        </w:rPr>
        <w:t xml:space="preserve">Assess the proposal for use of </w:t>
      </w:r>
      <w:r w:rsidR="00A11F03">
        <w:rPr>
          <w:rFonts w:asciiTheme="minorHAnsi" w:hAnsiTheme="minorHAnsi" w:cstheme="minorHAnsi"/>
          <w:bCs/>
          <w:iCs/>
          <w:sz w:val="22"/>
        </w:rPr>
        <w:t>STEP</w:t>
      </w:r>
      <w:r w:rsidRPr="00142783">
        <w:rPr>
          <w:rFonts w:asciiTheme="minorHAnsi" w:hAnsiTheme="minorHAnsi" w:cstheme="minorHAnsi"/>
          <w:bCs/>
          <w:iCs/>
          <w:sz w:val="22"/>
        </w:rPr>
        <w:t xml:space="preserve"> Funding and the outcomes this will achieve. Ensuring that there is a clear link between the identified needs of the child and proposed provision. </w:t>
      </w:r>
    </w:p>
    <w:p w14:paraId="70E39790" w14:textId="0895A9D9" w:rsidR="00142783" w:rsidRDefault="00142783" w:rsidP="00142783">
      <w:pPr>
        <w:jc w:val="both"/>
        <w:rPr>
          <w:rFonts w:asciiTheme="minorHAnsi" w:hAnsiTheme="minorHAnsi" w:cstheme="minorHAnsi"/>
          <w:bCs/>
          <w:iCs/>
          <w:sz w:val="22"/>
        </w:rPr>
      </w:pPr>
      <w:bookmarkStart w:id="1" w:name="_Hlk173837985"/>
      <w:bookmarkEnd w:id="0"/>
      <w:r>
        <w:rPr>
          <w:rFonts w:asciiTheme="minorHAnsi" w:hAnsiTheme="minorHAnsi" w:cstheme="minorHAnsi"/>
          <w:bCs/>
          <w:iCs/>
          <w:sz w:val="22"/>
        </w:rPr>
        <w:t xml:space="preserve">Where it is determined that </w:t>
      </w:r>
      <w:r w:rsidR="00A11F03">
        <w:rPr>
          <w:rFonts w:asciiTheme="minorHAnsi" w:hAnsiTheme="minorHAnsi" w:cstheme="minorHAnsi"/>
          <w:bCs/>
          <w:iCs/>
          <w:sz w:val="22"/>
        </w:rPr>
        <w:t>STEP</w:t>
      </w:r>
      <w:r>
        <w:rPr>
          <w:rFonts w:asciiTheme="minorHAnsi" w:hAnsiTheme="minorHAnsi" w:cstheme="minorHAnsi"/>
          <w:bCs/>
          <w:iCs/>
          <w:sz w:val="22"/>
        </w:rPr>
        <w:t xml:space="preserve"> funding is appropriate the amount provided will be agreed, with the underpinning principle that the cost of provision is the same regardless of the setting in which it is delivered. Providing equity and transparency across the range of settings. </w:t>
      </w:r>
    </w:p>
    <w:p w14:paraId="1F905833" w14:textId="7649C62A" w:rsidR="00D46CFF" w:rsidRDefault="00D46CFF" w:rsidP="00D46CFF">
      <w:pPr>
        <w:pStyle w:val="Heading2"/>
      </w:pPr>
      <w:bookmarkStart w:id="2" w:name="_Hlk173838271"/>
      <w:bookmarkEnd w:id="1"/>
      <w:r>
        <w:t>Outcomes of Application</w:t>
      </w:r>
    </w:p>
    <w:p w14:paraId="76784C9F" w14:textId="3AB42825" w:rsidR="00D46CFF" w:rsidRPr="00D46CFF" w:rsidRDefault="00D46CFF" w:rsidP="00D46CFF">
      <w:pPr>
        <w:rPr>
          <w:rFonts w:asciiTheme="minorHAnsi" w:hAnsiTheme="minorHAnsi" w:cstheme="minorHAnsi"/>
          <w:bCs/>
          <w:iCs/>
          <w:sz w:val="22"/>
        </w:rPr>
      </w:pPr>
      <w:r w:rsidRPr="00D46CFF">
        <w:rPr>
          <w:rFonts w:asciiTheme="minorHAnsi" w:hAnsiTheme="minorHAnsi" w:cstheme="minorHAnsi"/>
          <w:bCs/>
          <w:iCs/>
          <w:sz w:val="22"/>
        </w:rPr>
        <w:t xml:space="preserve">There are three possible outcomes of an application: </w:t>
      </w:r>
    </w:p>
    <w:p w14:paraId="19671B5F" w14:textId="7441630E" w:rsidR="00D46CFF" w:rsidRDefault="00D46CFF" w:rsidP="00D46CFF">
      <w:pPr>
        <w:pStyle w:val="ListParagraph"/>
        <w:numPr>
          <w:ilvl w:val="0"/>
          <w:numId w:val="4"/>
        </w:numPr>
        <w:rPr>
          <w:rFonts w:asciiTheme="minorHAnsi" w:hAnsiTheme="minorHAnsi" w:cstheme="minorHAnsi"/>
          <w:bCs/>
          <w:iCs/>
          <w:sz w:val="22"/>
        </w:rPr>
      </w:pPr>
      <w:r w:rsidRPr="00D46CFF">
        <w:rPr>
          <w:rFonts w:asciiTheme="minorHAnsi" w:hAnsiTheme="minorHAnsi" w:cstheme="minorHAnsi"/>
          <w:bCs/>
          <w:iCs/>
          <w:sz w:val="22"/>
        </w:rPr>
        <w:t xml:space="preserve">An allocation of </w:t>
      </w:r>
      <w:r w:rsidR="00A11F03">
        <w:rPr>
          <w:rFonts w:asciiTheme="minorHAnsi" w:hAnsiTheme="minorHAnsi" w:cstheme="minorHAnsi"/>
          <w:bCs/>
          <w:iCs/>
          <w:sz w:val="22"/>
        </w:rPr>
        <w:t>STEP</w:t>
      </w:r>
      <w:r w:rsidRPr="00D46CFF">
        <w:rPr>
          <w:rFonts w:asciiTheme="minorHAnsi" w:hAnsiTheme="minorHAnsi" w:cstheme="minorHAnsi"/>
          <w:bCs/>
          <w:iCs/>
          <w:sz w:val="22"/>
        </w:rPr>
        <w:t xml:space="preserve"> Funding for a time-limited period this will vary</w:t>
      </w:r>
      <w:r w:rsidR="00743E23">
        <w:rPr>
          <w:rFonts w:asciiTheme="minorHAnsi" w:hAnsiTheme="minorHAnsi" w:cstheme="minorHAnsi"/>
          <w:bCs/>
          <w:iCs/>
          <w:sz w:val="22"/>
        </w:rPr>
        <w:t xml:space="preserve"> according to</w:t>
      </w:r>
      <w:r w:rsidRPr="00D46CFF">
        <w:rPr>
          <w:rFonts w:asciiTheme="minorHAnsi" w:hAnsiTheme="minorHAnsi" w:cstheme="minorHAnsi"/>
          <w:bCs/>
          <w:iCs/>
          <w:sz w:val="22"/>
        </w:rPr>
        <w:t xml:space="preserve"> the child’s needs, but it funding will </w:t>
      </w:r>
      <w:r w:rsidR="00A11F03">
        <w:rPr>
          <w:rFonts w:asciiTheme="minorHAnsi" w:hAnsiTheme="minorHAnsi" w:cstheme="minorHAnsi"/>
          <w:bCs/>
          <w:iCs/>
          <w:sz w:val="22"/>
        </w:rPr>
        <w:t xml:space="preserve">not </w:t>
      </w:r>
      <w:r w:rsidRPr="00D46CFF">
        <w:rPr>
          <w:rFonts w:asciiTheme="minorHAnsi" w:hAnsiTheme="minorHAnsi" w:cstheme="minorHAnsi"/>
          <w:bCs/>
          <w:iCs/>
          <w:sz w:val="22"/>
        </w:rPr>
        <w:t>be provided for more than two academic terms</w:t>
      </w:r>
      <w:r w:rsidR="00602560">
        <w:rPr>
          <w:rFonts w:asciiTheme="minorHAnsi" w:hAnsiTheme="minorHAnsi" w:cstheme="minorHAnsi"/>
          <w:bCs/>
          <w:iCs/>
          <w:sz w:val="22"/>
        </w:rPr>
        <w:t>.</w:t>
      </w:r>
    </w:p>
    <w:p w14:paraId="4CF21425" w14:textId="722D1A29" w:rsidR="00D46CFF" w:rsidRDefault="00D46CFF" w:rsidP="00D46CFF">
      <w:pPr>
        <w:pStyle w:val="ListParagraph"/>
        <w:numPr>
          <w:ilvl w:val="0"/>
          <w:numId w:val="4"/>
        </w:numPr>
        <w:rPr>
          <w:rFonts w:asciiTheme="minorHAnsi" w:hAnsiTheme="minorHAnsi" w:cstheme="minorHAnsi"/>
          <w:bCs/>
          <w:iCs/>
          <w:sz w:val="22"/>
        </w:rPr>
      </w:pPr>
      <w:r>
        <w:rPr>
          <w:rFonts w:asciiTheme="minorHAnsi" w:hAnsiTheme="minorHAnsi" w:cstheme="minorHAnsi"/>
          <w:bCs/>
          <w:iCs/>
          <w:sz w:val="22"/>
        </w:rPr>
        <w:t xml:space="preserve">No allocation of </w:t>
      </w:r>
      <w:r w:rsidR="00A11F03">
        <w:rPr>
          <w:rFonts w:asciiTheme="minorHAnsi" w:hAnsiTheme="minorHAnsi" w:cstheme="minorHAnsi"/>
          <w:bCs/>
          <w:iCs/>
          <w:sz w:val="22"/>
        </w:rPr>
        <w:t>STEP</w:t>
      </w:r>
      <w:r>
        <w:rPr>
          <w:rFonts w:asciiTheme="minorHAnsi" w:hAnsiTheme="minorHAnsi" w:cstheme="minorHAnsi"/>
          <w:bCs/>
          <w:iCs/>
          <w:sz w:val="22"/>
        </w:rPr>
        <w:t xml:space="preserve"> Funding, in this event the setting will be provided with specific reasons why any allocation was not made</w:t>
      </w:r>
      <w:r w:rsidR="00602560">
        <w:rPr>
          <w:rFonts w:asciiTheme="minorHAnsi" w:hAnsiTheme="minorHAnsi" w:cstheme="minorHAnsi"/>
          <w:bCs/>
          <w:iCs/>
          <w:sz w:val="22"/>
        </w:rPr>
        <w:t>.</w:t>
      </w:r>
    </w:p>
    <w:p w14:paraId="2B417FAC" w14:textId="7ED582E2" w:rsidR="00D46CFF" w:rsidRPr="00D46CFF" w:rsidRDefault="00D46CFF" w:rsidP="613652DB">
      <w:pPr>
        <w:pStyle w:val="ListParagraph"/>
        <w:numPr>
          <w:ilvl w:val="0"/>
          <w:numId w:val="4"/>
        </w:numPr>
        <w:rPr>
          <w:rFonts w:asciiTheme="minorHAnsi" w:hAnsiTheme="minorHAnsi"/>
          <w:sz w:val="22"/>
        </w:rPr>
      </w:pPr>
      <w:r w:rsidRPr="613652DB">
        <w:rPr>
          <w:rFonts w:asciiTheme="minorHAnsi" w:hAnsiTheme="minorHAnsi"/>
          <w:sz w:val="22"/>
        </w:rPr>
        <w:t>Recommendation to refer to the Inclusion Service</w:t>
      </w:r>
      <w:r w:rsidR="00CB7F3A" w:rsidRPr="613652DB">
        <w:rPr>
          <w:rFonts w:asciiTheme="minorHAnsi" w:hAnsiTheme="minorHAnsi"/>
          <w:sz w:val="22"/>
        </w:rPr>
        <w:t xml:space="preserve"> or other external agency</w:t>
      </w:r>
      <w:r w:rsidR="00483DF7" w:rsidRPr="613652DB">
        <w:rPr>
          <w:rFonts w:asciiTheme="minorHAnsi" w:hAnsiTheme="minorHAnsi"/>
          <w:sz w:val="22"/>
        </w:rPr>
        <w:t>/professional</w:t>
      </w:r>
      <w:r w:rsidRPr="613652DB">
        <w:rPr>
          <w:rFonts w:asciiTheme="minorHAnsi" w:hAnsiTheme="minorHAnsi"/>
          <w:sz w:val="22"/>
        </w:rPr>
        <w:t xml:space="preserve">, where it is felt additional strategies and intervention can be utilised within ordinarily available </w:t>
      </w:r>
      <w:r w:rsidR="009A1E79" w:rsidRPr="613652DB">
        <w:rPr>
          <w:rFonts w:asciiTheme="minorHAnsi" w:hAnsiTheme="minorHAnsi"/>
          <w:sz w:val="22"/>
        </w:rPr>
        <w:t>provision</w:t>
      </w:r>
      <w:r w:rsidR="00602560">
        <w:rPr>
          <w:rFonts w:asciiTheme="minorHAnsi" w:hAnsiTheme="minorHAnsi"/>
          <w:sz w:val="22"/>
        </w:rPr>
        <w:t>.</w:t>
      </w:r>
    </w:p>
    <w:p w14:paraId="68B90EF1" w14:textId="1BBD5E45" w:rsidR="00FB70BF" w:rsidRDefault="00FB70BF" w:rsidP="00FB70BF">
      <w:pPr>
        <w:pStyle w:val="Heading2"/>
      </w:pPr>
      <w:bookmarkStart w:id="3" w:name="_Hlk173838529"/>
      <w:bookmarkEnd w:id="2"/>
      <w:r>
        <w:t xml:space="preserve">Monitoring the use of </w:t>
      </w:r>
      <w:r w:rsidR="00A11F03">
        <w:t>STEP</w:t>
      </w:r>
      <w:r>
        <w:t xml:space="preserve"> Funding</w:t>
      </w:r>
    </w:p>
    <w:p w14:paraId="41C6E365" w14:textId="0FF5999B" w:rsidR="00142783" w:rsidRPr="00DB2416" w:rsidRDefault="00DB2416" w:rsidP="003D7F9A">
      <w:pPr>
        <w:rPr>
          <w:rFonts w:asciiTheme="minorHAnsi" w:hAnsiTheme="minorHAnsi" w:cstheme="minorHAnsi"/>
          <w:bCs/>
          <w:iCs/>
          <w:sz w:val="22"/>
        </w:rPr>
      </w:pPr>
      <w:r w:rsidRPr="00DB2416">
        <w:rPr>
          <w:rFonts w:asciiTheme="minorHAnsi" w:hAnsiTheme="minorHAnsi" w:cstheme="minorHAnsi"/>
          <w:bCs/>
          <w:iCs/>
          <w:sz w:val="22"/>
        </w:rPr>
        <w:t xml:space="preserve">Where </w:t>
      </w:r>
      <w:r w:rsidR="00A11F03">
        <w:rPr>
          <w:rFonts w:asciiTheme="minorHAnsi" w:hAnsiTheme="minorHAnsi" w:cstheme="minorHAnsi"/>
          <w:bCs/>
          <w:iCs/>
          <w:sz w:val="22"/>
        </w:rPr>
        <w:t>STEP</w:t>
      </w:r>
      <w:r w:rsidRPr="00DB2416">
        <w:rPr>
          <w:rFonts w:asciiTheme="minorHAnsi" w:hAnsiTheme="minorHAnsi" w:cstheme="minorHAnsi"/>
          <w:bCs/>
          <w:iCs/>
          <w:sz w:val="22"/>
        </w:rPr>
        <w:t xml:space="preserve"> Funding has been agreed, the requesting setting will be required to sign an agreement to </w:t>
      </w:r>
      <w:r w:rsidR="00025A4F">
        <w:rPr>
          <w:rFonts w:asciiTheme="minorHAnsi" w:hAnsiTheme="minorHAnsi" w:cstheme="minorHAnsi"/>
          <w:bCs/>
          <w:iCs/>
          <w:sz w:val="22"/>
        </w:rPr>
        <w:t xml:space="preserve">complete the </w:t>
      </w:r>
      <w:r w:rsidR="00A11F03">
        <w:rPr>
          <w:rFonts w:asciiTheme="minorHAnsi" w:hAnsiTheme="minorHAnsi" w:cstheme="minorHAnsi"/>
          <w:bCs/>
          <w:iCs/>
          <w:sz w:val="22"/>
        </w:rPr>
        <w:t>STEP</w:t>
      </w:r>
      <w:r w:rsidR="00025A4F">
        <w:rPr>
          <w:rFonts w:asciiTheme="minorHAnsi" w:hAnsiTheme="minorHAnsi" w:cstheme="minorHAnsi"/>
          <w:bCs/>
          <w:iCs/>
          <w:sz w:val="22"/>
        </w:rPr>
        <w:t xml:space="preserve"> Funding Impact Form to demonstrate </w:t>
      </w:r>
      <w:r w:rsidRPr="00DB2416">
        <w:rPr>
          <w:rFonts w:asciiTheme="minorHAnsi" w:hAnsiTheme="minorHAnsi" w:cstheme="minorHAnsi"/>
          <w:bCs/>
          <w:iCs/>
          <w:sz w:val="22"/>
        </w:rPr>
        <w:t xml:space="preserve">the impact of provision and outcomes achieved. The timescales for this will be determined on the level of </w:t>
      </w:r>
      <w:r w:rsidR="00A11F03">
        <w:rPr>
          <w:rFonts w:asciiTheme="minorHAnsi" w:hAnsiTheme="minorHAnsi" w:cstheme="minorHAnsi"/>
          <w:bCs/>
          <w:iCs/>
          <w:sz w:val="22"/>
        </w:rPr>
        <w:t>STEP</w:t>
      </w:r>
      <w:r w:rsidRPr="00DB2416">
        <w:rPr>
          <w:rFonts w:asciiTheme="minorHAnsi" w:hAnsiTheme="minorHAnsi" w:cstheme="minorHAnsi"/>
          <w:bCs/>
          <w:iCs/>
          <w:sz w:val="22"/>
        </w:rPr>
        <w:t xml:space="preserve"> Funding provided and the duration of </w:t>
      </w:r>
      <w:r w:rsidR="00602560" w:rsidRPr="00DB2416">
        <w:rPr>
          <w:rFonts w:asciiTheme="minorHAnsi" w:hAnsiTheme="minorHAnsi" w:cstheme="minorHAnsi"/>
          <w:bCs/>
          <w:iCs/>
          <w:sz w:val="22"/>
        </w:rPr>
        <w:t>its</w:t>
      </w:r>
      <w:r w:rsidRPr="00DB2416">
        <w:rPr>
          <w:rFonts w:asciiTheme="minorHAnsi" w:hAnsiTheme="minorHAnsi" w:cstheme="minorHAnsi"/>
          <w:bCs/>
          <w:iCs/>
          <w:sz w:val="22"/>
        </w:rPr>
        <w:t xml:space="preserve"> use. </w:t>
      </w:r>
    </w:p>
    <w:p w14:paraId="592A7E9D" w14:textId="4C025845" w:rsidR="00DB2416" w:rsidRDefault="00DB2416" w:rsidP="003D7F9A">
      <w:pPr>
        <w:rPr>
          <w:rFonts w:asciiTheme="minorHAnsi" w:hAnsiTheme="minorHAnsi" w:cstheme="minorHAnsi"/>
          <w:bCs/>
          <w:iCs/>
          <w:sz w:val="22"/>
        </w:rPr>
      </w:pPr>
      <w:r w:rsidRPr="00DB2416">
        <w:rPr>
          <w:rFonts w:asciiTheme="minorHAnsi" w:hAnsiTheme="minorHAnsi" w:cstheme="minorHAnsi"/>
          <w:bCs/>
          <w:iCs/>
          <w:sz w:val="22"/>
        </w:rPr>
        <w:t xml:space="preserve">Where appropriate, if the Local Authority feels that additional support to implement the use of </w:t>
      </w:r>
      <w:r w:rsidR="00A11F03">
        <w:rPr>
          <w:rFonts w:asciiTheme="minorHAnsi" w:hAnsiTheme="minorHAnsi" w:cstheme="minorHAnsi"/>
          <w:bCs/>
          <w:iCs/>
          <w:sz w:val="22"/>
        </w:rPr>
        <w:t>STEP</w:t>
      </w:r>
      <w:r w:rsidRPr="00DB2416">
        <w:rPr>
          <w:rFonts w:asciiTheme="minorHAnsi" w:hAnsiTheme="minorHAnsi" w:cstheme="minorHAnsi"/>
          <w:bCs/>
          <w:iCs/>
          <w:sz w:val="22"/>
        </w:rPr>
        <w:t xml:space="preserve"> Funding is appropriate, the setting must agree to a monitoring visit from a Local Authority Officer</w:t>
      </w:r>
      <w:r>
        <w:rPr>
          <w:rFonts w:asciiTheme="minorHAnsi" w:hAnsiTheme="minorHAnsi" w:cstheme="minorHAnsi"/>
          <w:bCs/>
          <w:iCs/>
          <w:sz w:val="22"/>
        </w:rPr>
        <w:t>.</w:t>
      </w:r>
    </w:p>
    <w:p w14:paraId="2BAC21DA" w14:textId="77777777" w:rsidR="00DB2416" w:rsidRDefault="00DB2416" w:rsidP="00DB2416">
      <w:pPr>
        <w:pStyle w:val="Heading2"/>
        <w:rPr>
          <w:rFonts w:ascii="Arial" w:hAnsi="Arial"/>
          <w:sz w:val="24"/>
        </w:rPr>
      </w:pPr>
      <w:r>
        <w:t>Appealing the Decision</w:t>
      </w:r>
    </w:p>
    <w:p w14:paraId="059B6172" w14:textId="48871501" w:rsidR="00DB2416" w:rsidRDefault="00E77F83" w:rsidP="00DB2416">
      <w:pPr>
        <w:jc w:val="both"/>
        <w:rPr>
          <w:rFonts w:asciiTheme="minorHAnsi" w:hAnsiTheme="minorHAnsi" w:cstheme="minorHAnsi"/>
          <w:bCs/>
          <w:iCs/>
          <w:sz w:val="22"/>
        </w:rPr>
      </w:pPr>
      <w:r>
        <w:rPr>
          <w:rFonts w:asciiTheme="minorHAnsi" w:hAnsiTheme="minorHAnsi" w:cstheme="minorHAnsi"/>
          <w:bCs/>
          <w:iCs/>
          <w:sz w:val="22"/>
        </w:rPr>
        <w:t xml:space="preserve">As </w:t>
      </w:r>
      <w:r w:rsidR="00A11F03">
        <w:rPr>
          <w:rFonts w:asciiTheme="minorHAnsi" w:hAnsiTheme="minorHAnsi" w:cstheme="minorHAnsi"/>
          <w:bCs/>
          <w:iCs/>
          <w:sz w:val="22"/>
        </w:rPr>
        <w:t>STEP</w:t>
      </w:r>
      <w:r>
        <w:rPr>
          <w:rFonts w:asciiTheme="minorHAnsi" w:hAnsiTheme="minorHAnsi" w:cstheme="minorHAnsi"/>
          <w:bCs/>
          <w:iCs/>
          <w:sz w:val="22"/>
        </w:rPr>
        <w:t xml:space="preserve"> Funding is not a statutory requirement</w:t>
      </w:r>
      <w:r w:rsidR="00B33205">
        <w:rPr>
          <w:rFonts w:asciiTheme="minorHAnsi" w:hAnsiTheme="minorHAnsi" w:cstheme="minorHAnsi"/>
          <w:bCs/>
          <w:iCs/>
          <w:sz w:val="22"/>
        </w:rPr>
        <w:t xml:space="preserve"> you are not able to appeal any decision made by the panel. </w:t>
      </w:r>
      <w:r w:rsidR="00CF5D35">
        <w:rPr>
          <w:rFonts w:asciiTheme="minorHAnsi" w:hAnsiTheme="minorHAnsi" w:cstheme="minorHAnsi"/>
          <w:bCs/>
          <w:iCs/>
          <w:sz w:val="22"/>
        </w:rPr>
        <w:t xml:space="preserve">All settings are advised </w:t>
      </w:r>
      <w:r w:rsidR="00CF5D35" w:rsidRPr="00A13994">
        <w:rPr>
          <w:rFonts w:asciiTheme="minorHAnsi" w:hAnsiTheme="minorHAnsi" w:cstheme="minorHAnsi"/>
          <w:bCs/>
          <w:iCs/>
          <w:sz w:val="22"/>
        </w:rPr>
        <w:t xml:space="preserve">not </w:t>
      </w:r>
      <w:r w:rsidR="00CF5D35">
        <w:rPr>
          <w:rFonts w:asciiTheme="minorHAnsi" w:hAnsiTheme="minorHAnsi" w:cstheme="minorHAnsi"/>
          <w:bCs/>
          <w:iCs/>
          <w:sz w:val="22"/>
        </w:rPr>
        <w:t xml:space="preserve">to </w:t>
      </w:r>
      <w:r w:rsidR="00CF5D35" w:rsidRPr="00A13994">
        <w:rPr>
          <w:rFonts w:asciiTheme="minorHAnsi" w:hAnsiTheme="minorHAnsi" w:cstheme="minorHAnsi"/>
          <w:bCs/>
          <w:iCs/>
          <w:sz w:val="22"/>
        </w:rPr>
        <w:t>make staffing decisions made on the possibility of funding. </w:t>
      </w:r>
      <w:r w:rsidR="00DB2416" w:rsidRPr="00DB2416">
        <w:rPr>
          <w:rFonts w:asciiTheme="minorHAnsi" w:hAnsiTheme="minorHAnsi" w:cstheme="minorHAnsi"/>
          <w:bCs/>
          <w:iCs/>
          <w:sz w:val="22"/>
        </w:rPr>
        <w:t>Every effort will be made to ensure that decisions are fair, transparent and equitable and it is expected that if significant new information becomes available the setting will re-apply.</w:t>
      </w:r>
    </w:p>
    <w:p w14:paraId="5B953861" w14:textId="77777777" w:rsidR="00543EF7" w:rsidRDefault="00543EF7" w:rsidP="00DB2416">
      <w:pPr>
        <w:jc w:val="both"/>
        <w:rPr>
          <w:rFonts w:asciiTheme="minorHAnsi" w:hAnsiTheme="minorHAnsi" w:cstheme="minorHAnsi"/>
          <w:bCs/>
          <w:iCs/>
          <w:sz w:val="22"/>
        </w:rPr>
        <w:sectPr w:rsidR="00543EF7" w:rsidSect="00DB2416">
          <w:headerReference w:type="default" r:id="rId12"/>
          <w:footerReference w:type="default" r:id="rId13"/>
          <w:pgSz w:w="11906" w:h="16838"/>
          <w:pgMar w:top="1440" w:right="1440" w:bottom="1440" w:left="1440" w:header="708" w:footer="624" w:gutter="0"/>
          <w:cols w:space="708"/>
          <w:docGrid w:linePitch="360"/>
        </w:sectPr>
      </w:pPr>
    </w:p>
    <w:p w14:paraId="06A0DB3A" w14:textId="50EB7E93" w:rsidR="00543EF7" w:rsidRPr="0092215D" w:rsidRDefault="00543EF7" w:rsidP="0092215D">
      <w:pPr>
        <w:pStyle w:val="Heading2"/>
        <w:jc w:val="center"/>
      </w:pPr>
      <w:r w:rsidRPr="0092215D">
        <w:lastRenderedPageBreak/>
        <w:t>Short Term Exceptional Provision Helpful Hints</w:t>
      </w:r>
    </w:p>
    <w:p w14:paraId="6406E874" w14:textId="77777777" w:rsidR="00543EF7" w:rsidRPr="00A627BE" w:rsidRDefault="00543EF7" w:rsidP="00543EF7"/>
    <w:tbl>
      <w:tblPr>
        <w:tblStyle w:val="TableGrid"/>
        <w:tblW w:w="14030" w:type="dxa"/>
        <w:tblLook w:val="04A0" w:firstRow="1" w:lastRow="0" w:firstColumn="1" w:lastColumn="0" w:noHBand="0" w:noVBand="1"/>
      </w:tblPr>
      <w:tblGrid>
        <w:gridCol w:w="7015"/>
        <w:gridCol w:w="7015"/>
      </w:tblGrid>
      <w:tr w:rsidR="00543EF7" w14:paraId="1CDAFF67" w14:textId="77777777" w:rsidTr="00543EF7">
        <w:trPr>
          <w:trHeight w:val="451"/>
        </w:trPr>
        <w:tc>
          <w:tcPr>
            <w:tcW w:w="7015" w:type="dxa"/>
            <w:shd w:val="clear" w:color="auto" w:fill="D0E6F6" w:themeFill="accent6" w:themeFillTint="33"/>
            <w:vAlign w:val="center"/>
          </w:tcPr>
          <w:p w14:paraId="7810A6AB" w14:textId="151A30B7" w:rsidR="00543EF7" w:rsidRPr="00250A39" w:rsidRDefault="00543EF7" w:rsidP="00987A67">
            <w:pPr>
              <w:jc w:val="center"/>
              <w:rPr>
                <w:b/>
                <w:bCs/>
              </w:rPr>
            </w:pPr>
            <w:r w:rsidRPr="00250A39">
              <w:rPr>
                <w:b/>
                <w:bCs/>
              </w:rPr>
              <w:t xml:space="preserve">Apply for </w:t>
            </w:r>
            <w:r>
              <w:rPr>
                <w:b/>
                <w:bCs/>
              </w:rPr>
              <w:t>STEP</w:t>
            </w:r>
            <w:r w:rsidRPr="00250A39">
              <w:rPr>
                <w:b/>
                <w:bCs/>
              </w:rPr>
              <w:t xml:space="preserve"> Funding if:</w:t>
            </w:r>
          </w:p>
        </w:tc>
        <w:tc>
          <w:tcPr>
            <w:tcW w:w="7015" w:type="dxa"/>
            <w:shd w:val="clear" w:color="auto" w:fill="FCBCBC"/>
            <w:vAlign w:val="center"/>
          </w:tcPr>
          <w:p w14:paraId="31D6E9FB" w14:textId="23086B11" w:rsidR="00543EF7" w:rsidRPr="00250A39" w:rsidRDefault="00543EF7" w:rsidP="00987A67">
            <w:pPr>
              <w:jc w:val="center"/>
              <w:rPr>
                <w:b/>
                <w:bCs/>
              </w:rPr>
            </w:pPr>
            <w:r w:rsidRPr="00250A39">
              <w:rPr>
                <w:b/>
                <w:bCs/>
              </w:rPr>
              <w:t>Do not apply for STEP Funding if:</w:t>
            </w:r>
          </w:p>
        </w:tc>
      </w:tr>
      <w:tr w:rsidR="00543EF7" w14:paraId="096BCA44" w14:textId="77777777" w:rsidTr="00543EF7">
        <w:trPr>
          <w:trHeight w:val="774"/>
        </w:trPr>
        <w:tc>
          <w:tcPr>
            <w:tcW w:w="7015" w:type="dxa"/>
            <w:vAlign w:val="center"/>
          </w:tcPr>
          <w:p w14:paraId="1884D542" w14:textId="77777777" w:rsidR="00543EF7" w:rsidRPr="00543EF7" w:rsidRDefault="00543EF7" w:rsidP="00987A67">
            <w:pPr>
              <w:rPr>
                <w:rFonts w:ascii="Calibri" w:hAnsi="Calibri" w:cs="Calibri"/>
                <w:sz w:val="22"/>
                <w:szCs w:val="20"/>
              </w:rPr>
            </w:pPr>
            <w:r w:rsidRPr="00543EF7">
              <w:rPr>
                <w:rFonts w:ascii="Calibri" w:hAnsi="Calibri" w:cs="Calibri"/>
                <w:sz w:val="22"/>
                <w:szCs w:val="20"/>
              </w:rPr>
              <w:t>The child with SEN does not have an EHCP and you can demonstrate that the child is receiving support over and above the setting’s normally available resources</w:t>
            </w:r>
          </w:p>
        </w:tc>
        <w:tc>
          <w:tcPr>
            <w:tcW w:w="7015" w:type="dxa"/>
            <w:vAlign w:val="center"/>
          </w:tcPr>
          <w:p w14:paraId="3AF5F95A" w14:textId="77777777" w:rsidR="00543EF7" w:rsidRPr="00543EF7" w:rsidRDefault="00543EF7" w:rsidP="00987A67">
            <w:pPr>
              <w:rPr>
                <w:rFonts w:ascii="Calibri" w:hAnsi="Calibri" w:cs="Calibri"/>
                <w:sz w:val="22"/>
                <w:szCs w:val="20"/>
              </w:rPr>
            </w:pPr>
            <w:r w:rsidRPr="00543EF7">
              <w:rPr>
                <w:rFonts w:ascii="Calibri" w:hAnsi="Calibri" w:cs="Calibri"/>
                <w:sz w:val="22"/>
                <w:szCs w:val="20"/>
              </w:rPr>
              <w:t>The child has an EHCP, or the child’s needs could be met from within your normally available resources</w:t>
            </w:r>
          </w:p>
        </w:tc>
      </w:tr>
      <w:tr w:rsidR="00543EF7" w14:paraId="3224E9D4" w14:textId="77777777" w:rsidTr="00543EF7">
        <w:trPr>
          <w:trHeight w:val="774"/>
        </w:trPr>
        <w:tc>
          <w:tcPr>
            <w:tcW w:w="7015" w:type="dxa"/>
            <w:vAlign w:val="center"/>
          </w:tcPr>
          <w:p w14:paraId="58ED2535" w14:textId="77777777" w:rsidR="00561309" w:rsidRDefault="00543EF7" w:rsidP="00543EF7">
            <w:pPr>
              <w:rPr>
                <w:rFonts w:ascii="Calibri" w:hAnsi="Calibri" w:cs="Calibri"/>
                <w:sz w:val="22"/>
                <w:szCs w:val="20"/>
              </w:rPr>
            </w:pPr>
            <w:r w:rsidRPr="00543EF7">
              <w:rPr>
                <w:rFonts w:ascii="Calibri" w:hAnsi="Calibri" w:cs="Calibri"/>
                <w:sz w:val="22"/>
                <w:szCs w:val="20"/>
              </w:rPr>
              <w:t>The child is resident within and attends a setting within South Tyneside</w:t>
            </w:r>
          </w:p>
          <w:p w14:paraId="073B3AA5" w14:textId="043C50F1" w:rsidR="00561309" w:rsidRPr="00543EF7" w:rsidRDefault="00561309" w:rsidP="00543EF7">
            <w:pPr>
              <w:rPr>
                <w:rFonts w:ascii="Calibri" w:hAnsi="Calibri" w:cs="Calibri"/>
                <w:sz w:val="22"/>
                <w:szCs w:val="20"/>
              </w:rPr>
            </w:pPr>
            <w:r>
              <w:rPr>
                <w:rFonts w:ascii="Calibri" w:hAnsi="Calibri" w:cs="Calibri"/>
                <w:sz w:val="22"/>
                <w:szCs w:val="20"/>
              </w:rPr>
              <w:t>(For Early Years the child is accessing their early education entitlement)</w:t>
            </w:r>
          </w:p>
        </w:tc>
        <w:tc>
          <w:tcPr>
            <w:tcW w:w="7015" w:type="dxa"/>
            <w:vAlign w:val="center"/>
          </w:tcPr>
          <w:p w14:paraId="0645784E" w14:textId="3C928FC5" w:rsidR="00543EF7" w:rsidRPr="00543EF7" w:rsidRDefault="00543EF7" w:rsidP="00543EF7">
            <w:pPr>
              <w:rPr>
                <w:rFonts w:ascii="Calibri" w:hAnsi="Calibri" w:cs="Calibri"/>
                <w:sz w:val="22"/>
                <w:szCs w:val="20"/>
              </w:rPr>
            </w:pPr>
            <w:r w:rsidRPr="00543EF7">
              <w:rPr>
                <w:rFonts w:ascii="Calibri" w:hAnsi="Calibri" w:cs="Calibri"/>
                <w:sz w:val="22"/>
                <w:szCs w:val="20"/>
              </w:rPr>
              <w:t>The child lives in South Tyneside but attending a setting outside of the local area</w:t>
            </w:r>
            <w:r w:rsidR="00561309">
              <w:rPr>
                <w:rFonts w:ascii="Calibri" w:hAnsi="Calibri" w:cs="Calibri"/>
                <w:sz w:val="22"/>
                <w:szCs w:val="20"/>
              </w:rPr>
              <w:t>.</w:t>
            </w:r>
          </w:p>
        </w:tc>
      </w:tr>
      <w:tr w:rsidR="00543EF7" w14:paraId="6A8575FF" w14:textId="77777777" w:rsidTr="00543EF7">
        <w:trPr>
          <w:trHeight w:val="774"/>
        </w:trPr>
        <w:tc>
          <w:tcPr>
            <w:tcW w:w="7015" w:type="dxa"/>
            <w:vAlign w:val="center"/>
          </w:tcPr>
          <w:p w14:paraId="4D2B4B46" w14:textId="183527A7" w:rsidR="00543EF7" w:rsidRPr="00543EF7" w:rsidRDefault="00543EF7" w:rsidP="00543EF7">
            <w:pPr>
              <w:rPr>
                <w:rFonts w:ascii="Calibri" w:hAnsi="Calibri" w:cs="Calibri"/>
                <w:sz w:val="22"/>
                <w:szCs w:val="20"/>
              </w:rPr>
            </w:pPr>
            <w:r w:rsidRPr="00543EF7">
              <w:rPr>
                <w:rFonts w:ascii="Calibri" w:hAnsi="Calibri" w:cs="Calibri"/>
                <w:sz w:val="22"/>
                <w:szCs w:val="20"/>
              </w:rPr>
              <w:t>You have identified the child’s barriers to learning and provided developmental levels in all curriculum areas</w:t>
            </w:r>
          </w:p>
        </w:tc>
        <w:tc>
          <w:tcPr>
            <w:tcW w:w="7015" w:type="dxa"/>
            <w:vAlign w:val="center"/>
          </w:tcPr>
          <w:p w14:paraId="10F38D6E" w14:textId="4427B74A" w:rsidR="00543EF7" w:rsidRPr="00543EF7" w:rsidRDefault="00543EF7" w:rsidP="00543EF7">
            <w:pPr>
              <w:rPr>
                <w:rFonts w:ascii="Calibri" w:hAnsi="Calibri" w:cs="Calibri"/>
                <w:sz w:val="22"/>
                <w:szCs w:val="20"/>
              </w:rPr>
            </w:pPr>
            <w:r w:rsidRPr="00543EF7">
              <w:rPr>
                <w:rFonts w:ascii="Calibri" w:hAnsi="Calibri" w:cs="Calibri"/>
                <w:sz w:val="22"/>
                <w:szCs w:val="20"/>
              </w:rPr>
              <w:t>You have not evidenced the child’s barriers to learning. There is not sufficient evidence to demonstrate that the child is below age related expectations</w:t>
            </w:r>
          </w:p>
        </w:tc>
      </w:tr>
      <w:tr w:rsidR="00543EF7" w14:paraId="7F911723" w14:textId="77777777" w:rsidTr="00543EF7">
        <w:trPr>
          <w:trHeight w:val="774"/>
        </w:trPr>
        <w:tc>
          <w:tcPr>
            <w:tcW w:w="7015" w:type="dxa"/>
            <w:vAlign w:val="center"/>
          </w:tcPr>
          <w:p w14:paraId="39FBE7ED" w14:textId="4A3EF16F" w:rsidR="00543EF7" w:rsidRPr="00543EF7" w:rsidRDefault="00543EF7" w:rsidP="00543EF7">
            <w:pPr>
              <w:rPr>
                <w:rFonts w:ascii="Calibri" w:hAnsi="Calibri" w:cs="Calibri"/>
                <w:sz w:val="22"/>
                <w:szCs w:val="20"/>
              </w:rPr>
            </w:pPr>
            <w:r w:rsidRPr="00543EF7">
              <w:rPr>
                <w:rFonts w:ascii="Calibri" w:hAnsi="Calibri" w:cs="Calibri"/>
                <w:sz w:val="22"/>
                <w:szCs w:val="20"/>
              </w:rPr>
              <w:t>You have correctly identified the child’s SEND Ranges and can provide evidence of this</w:t>
            </w:r>
          </w:p>
        </w:tc>
        <w:tc>
          <w:tcPr>
            <w:tcW w:w="7015" w:type="dxa"/>
            <w:vAlign w:val="center"/>
          </w:tcPr>
          <w:p w14:paraId="0FFD32C3" w14:textId="42AF72B1" w:rsidR="00543EF7" w:rsidRPr="00543EF7" w:rsidRDefault="00543EF7" w:rsidP="00543EF7">
            <w:pPr>
              <w:rPr>
                <w:rFonts w:ascii="Calibri" w:hAnsi="Calibri" w:cs="Calibri"/>
                <w:sz w:val="22"/>
                <w:szCs w:val="20"/>
              </w:rPr>
            </w:pPr>
            <w:r w:rsidRPr="00543EF7">
              <w:rPr>
                <w:rFonts w:ascii="Calibri" w:hAnsi="Calibri" w:cs="Calibri"/>
                <w:sz w:val="22"/>
                <w:szCs w:val="20"/>
              </w:rPr>
              <w:t>The child’s Ranges have not been appropriately identified or there is no evidence of how the child meets the identified Ranges</w:t>
            </w:r>
          </w:p>
        </w:tc>
      </w:tr>
      <w:tr w:rsidR="00543EF7" w14:paraId="027F455D" w14:textId="77777777" w:rsidTr="00543EF7">
        <w:trPr>
          <w:trHeight w:val="774"/>
        </w:trPr>
        <w:tc>
          <w:tcPr>
            <w:tcW w:w="7015" w:type="dxa"/>
            <w:vAlign w:val="center"/>
          </w:tcPr>
          <w:p w14:paraId="7C3191AC" w14:textId="6BC0F8E7" w:rsidR="00543EF7" w:rsidRPr="00543EF7" w:rsidRDefault="00543EF7" w:rsidP="00543EF7">
            <w:pPr>
              <w:rPr>
                <w:rFonts w:ascii="Calibri" w:hAnsi="Calibri" w:cs="Calibri"/>
                <w:sz w:val="22"/>
                <w:szCs w:val="20"/>
              </w:rPr>
            </w:pPr>
            <w:r w:rsidRPr="00543EF7">
              <w:rPr>
                <w:rFonts w:ascii="Calibri" w:hAnsi="Calibri" w:cs="Calibri"/>
                <w:sz w:val="22"/>
                <w:szCs w:val="20"/>
              </w:rPr>
              <w:t>You have provided specific details of advice and guidance offered by professionals</w:t>
            </w:r>
          </w:p>
        </w:tc>
        <w:tc>
          <w:tcPr>
            <w:tcW w:w="7015" w:type="dxa"/>
            <w:vAlign w:val="center"/>
          </w:tcPr>
          <w:p w14:paraId="14AE6C59" w14:textId="5FCFBDDA" w:rsidR="00543EF7" w:rsidRPr="00543EF7" w:rsidRDefault="00543EF7" w:rsidP="00543EF7">
            <w:pPr>
              <w:rPr>
                <w:rFonts w:ascii="Calibri" w:hAnsi="Calibri" w:cs="Calibri"/>
                <w:sz w:val="22"/>
                <w:szCs w:val="20"/>
              </w:rPr>
            </w:pPr>
            <w:r w:rsidRPr="00543EF7">
              <w:rPr>
                <w:rFonts w:ascii="Calibri" w:hAnsi="Calibri" w:cs="Calibri"/>
                <w:sz w:val="22"/>
                <w:szCs w:val="20"/>
              </w:rPr>
              <w:t>There is no evidence of advice and guidance sought from professionals or this has not been followed</w:t>
            </w:r>
          </w:p>
        </w:tc>
      </w:tr>
      <w:tr w:rsidR="00543EF7" w14:paraId="7B06866D" w14:textId="77777777" w:rsidTr="00543EF7">
        <w:trPr>
          <w:trHeight w:val="774"/>
        </w:trPr>
        <w:tc>
          <w:tcPr>
            <w:tcW w:w="7015" w:type="dxa"/>
            <w:vAlign w:val="center"/>
          </w:tcPr>
          <w:p w14:paraId="6794A8A5" w14:textId="65199DFE" w:rsidR="00543EF7" w:rsidRPr="00543EF7" w:rsidRDefault="00543EF7" w:rsidP="00543EF7">
            <w:pPr>
              <w:rPr>
                <w:rFonts w:ascii="Calibri" w:hAnsi="Calibri" w:cs="Calibri"/>
                <w:sz w:val="22"/>
                <w:szCs w:val="20"/>
              </w:rPr>
            </w:pPr>
            <w:r w:rsidRPr="00543EF7">
              <w:rPr>
                <w:rFonts w:ascii="Calibri" w:hAnsi="Calibri" w:cs="Calibri"/>
                <w:sz w:val="22"/>
                <w:szCs w:val="20"/>
              </w:rPr>
              <w:t>You can demonstrate the interventions that you have already put in place to address any barriers to learning – Timetable to be provided</w:t>
            </w:r>
          </w:p>
        </w:tc>
        <w:tc>
          <w:tcPr>
            <w:tcW w:w="7015" w:type="dxa"/>
            <w:vAlign w:val="center"/>
          </w:tcPr>
          <w:p w14:paraId="4D16B40F" w14:textId="3FB32DF6" w:rsidR="00543EF7" w:rsidRPr="00543EF7" w:rsidRDefault="00543EF7" w:rsidP="00543EF7">
            <w:pPr>
              <w:rPr>
                <w:rFonts w:ascii="Calibri" w:hAnsi="Calibri" w:cs="Calibri"/>
                <w:sz w:val="22"/>
                <w:szCs w:val="20"/>
              </w:rPr>
            </w:pPr>
            <w:r w:rsidRPr="00543EF7">
              <w:rPr>
                <w:rFonts w:ascii="Calibri" w:hAnsi="Calibri" w:cs="Calibri"/>
                <w:sz w:val="22"/>
                <w:szCs w:val="20"/>
              </w:rPr>
              <w:t>There is no individualised timetable that provides details of interventions in place</w:t>
            </w:r>
          </w:p>
        </w:tc>
      </w:tr>
      <w:tr w:rsidR="00543EF7" w14:paraId="1D8BB6C9" w14:textId="77777777" w:rsidTr="00543EF7">
        <w:trPr>
          <w:trHeight w:val="774"/>
        </w:trPr>
        <w:tc>
          <w:tcPr>
            <w:tcW w:w="7015" w:type="dxa"/>
            <w:vAlign w:val="center"/>
          </w:tcPr>
          <w:p w14:paraId="446001C7" w14:textId="22CEFEA7" w:rsidR="00543EF7" w:rsidRPr="00543EF7" w:rsidRDefault="00543EF7" w:rsidP="00543EF7">
            <w:pPr>
              <w:rPr>
                <w:rFonts w:ascii="Calibri" w:hAnsi="Calibri" w:cs="Calibri"/>
                <w:sz w:val="22"/>
                <w:szCs w:val="20"/>
              </w:rPr>
            </w:pPr>
            <w:r w:rsidRPr="00543EF7">
              <w:rPr>
                <w:rFonts w:ascii="Calibri" w:hAnsi="Calibri" w:cs="Calibri"/>
                <w:sz w:val="22"/>
                <w:szCs w:val="20"/>
              </w:rPr>
              <w:t xml:space="preserve">You can provide evidence of your graduated approach and the impact of this, demonstrating how the child has made progress </w:t>
            </w:r>
            <w:proofErr w:type="gramStart"/>
            <w:r w:rsidRPr="00543EF7">
              <w:rPr>
                <w:rFonts w:ascii="Calibri" w:hAnsi="Calibri" w:cs="Calibri"/>
                <w:sz w:val="22"/>
                <w:szCs w:val="20"/>
              </w:rPr>
              <w:t>as a result of</w:t>
            </w:r>
            <w:proofErr w:type="gramEnd"/>
            <w:r w:rsidRPr="00543EF7">
              <w:rPr>
                <w:rFonts w:ascii="Calibri" w:hAnsi="Calibri" w:cs="Calibri"/>
                <w:sz w:val="22"/>
                <w:szCs w:val="20"/>
              </w:rPr>
              <w:t xml:space="preserve"> planned and specific interventions</w:t>
            </w:r>
          </w:p>
        </w:tc>
        <w:tc>
          <w:tcPr>
            <w:tcW w:w="7015" w:type="dxa"/>
            <w:vAlign w:val="center"/>
          </w:tcPr>
          <w:p w14:paraId="323104A3" w14:textId="57F70112" w:rsidR="00543EF7" w:rsidRPr="00543EF7" w:rsidRDefault="00543EF7" w:rsidP="00543EF7">
            <w:pPr>
              <w:rPr>
                <w:rFonts w:ascii="Calibri" w:hAnsi="Calibri" w:cs="Calibri"/>
                <w:sz w:val="22"/>
                <w:szCs w:val="20"/>
              </w:rPr>
            </w:pPr>
            <w:r w:rsidRPr="00543EF7">
              <w:rPr>
                <w:rFonts w:ascii="Calibri" w:hAnsi="Calibri" w:cs="Calibri"/>
                <w:sz w:val="22"/>
                <w:szCs w:val="20"/>
              </w:rPr>
              <w:t xml:space="preserve">You cannot provide details of the impact of your graduated approach, specifically how you have adapted and altered where appropriate if progress is not being made </w:t>
            </w:r>
          </w:p>
        </w:tc>
      </w:tr>
      <w:tr w:rsidR="00543EF7" w14:paraId="2C96F751" w14:textId="77777777" w:rsidTr="00543EF7">
        <w:trPr>
          <w:trHeight w:val="774"/>
        </w:trPr>
        <w:tc>
          <w:tcPr>
            <w:tcW w:w="7015" w:type="dxa"/>
            <w:vAlign w:val="center"/>
          </w:tcPr>
          <w:p w14:paraId="13F00122" w14:textId="7A0C1D4A" w:rsidR="00543EF7" w:rsidRPr="00543EF7" w:rsidRDefault="00543EF7" w:rsidP="00543EF7">
            <w:pPr>
              <w:rPr>
                <w:rFonts w:ascii="Calibri" w:hAnsi="Calibri" w:cs="Calibri"/>
                <w:sz w:val="22"/>
                <w:szCs w:val="20"/>
              </w:rPr>
            </w:pPr>
            <w:r w:rsidRPr="00543EF7">
              <w:rPr>
                <w:rFonts w:ascii="Calibri" w:hAnsi="Calibri" w:cs="Calibri"/>
                <w:sz w:val="22"/>
                <w:szCs w:val="20"/>
              </w:rPr>
              <w:t>There is evidence that the child’s parents/carers have been involved in the assess, plan, do, review cycle and they have signed the application form</w:t>
            </w:r>
          </w:p>
        </w:tc>
        <w:tc>
          <w:tcPr>
            <w:tcW w:w="7015" w:type="dxa"/>
            <w:vAlign w:val="center"/>
          </w:tcPr>
          <w:p w14:paraId="79682D18" w14:textId="39F0ED0D" w:rsidR="00543EF7" w:rsidRPr="00543EF7" w:rsidRDefault="00543EF7" w:rsidP="00543EF7">
            <w:pPr>
              <w:rPr>
                <w:rFonts w:ascii="Calibri" w:hAnsi="Calibri" w:cs="Calibri"/>
                <w:sz w:val="22"/>
                <w:szCs w:val="20"/>
              </w:rPr>
            </w:pPr>
            <w:r w:rsidRPr="00543EF7">
              <w:rPr>
                <w:rFonts w:ascii="Calibri" w:hAnsi="Calibri" w:cs="Calibri"/>
                <w:sz w:val="22"/>
                <w:szCs w:val="20"/>
              </w:rPr>
              <w:t>Your SEN Support Plans provide details of the parent/carer views and they have signed the application form</w:t>
            </w:r>
          </w:p>
        </w:tc>
      </w:tr>
      <w:tr w:rsidR="00543EF7" w14:paraId="707A1C40" w14:textId="77777777" w:rsidTr="00543EF7">
        <w:trPr>
          <w:trHeight w:val="774"/>
        </w:trPr>
        <w:tc>
          <w:tcPr>
            <w:tcW w:w="7015" w:type="dxa"/>
            <w:vAlign w:val="center"/>
          </w:tcPr>
          <w:p w14:paraId="76EEA723" w14:textId="77777777" w:rsidR="00543EF7" w:rsidRPr="00543EF7" w:rsidRDefault="00543EF7" w:rsidP="00543EF7">
            <w:pPr>
              <w:rPr>
                <w:rFonts w:ascii="Calibri" w:hAnsi="Calibri" w:cs="Calibri"/>
                <w:sz w:val="22"/>
                <w:szCs w:val="20"/>
              </w:rPr>
            </w:pPr>
            <w:r w:rsidRPr="00543EF7">
              <w:rPr>
                <w:rFonts w:ascii="Calibri" w:hAnsi="Calibri" w:cs="Calibri"/>
                <w:sz w:val="22"/>
                <w:szCs w:val="20"/>
              </w:rPr>
              <w:t>You have agreed Specific, Measurable, Achievable, Relevant &amp; Timely (SMART) outcomes for a six-month period with parents/carers</w:t>
            </w:r>
          </w:p>
        </w:tc>
        <w:tc>
          <w:tcPr>
            <w:tcW w:w="7015" w:type="dxa"/>
            <w:vAlign w:val="center"/>
          </w:tcPr>
          <w:p w14:paraId="3C8EE51F" w14:textId="77777777" w:rsidR="00543EF7" w:rsidRPr="00543EF7" w:rsidRDefault="00543EF7" w:rsidP="00543EF7">
            <w:pPr>
              <w:rPr>
                <w:rFonts w:ascii="Calibri" w:hAnsi="Calibri" w:cs="Calibri"/>
                <w:sz w:val="22"/>
                <w:szCs w:val="20"/>
              </w:rPr>
            </w:pPr>
            <w:r w:rsidRPr="00543EF7">
              <w:rPr>
                <w:rFonts w:ascii="Calibri" w:hAnsi="Calibri" w:cs="Calibri"/>
                <w:sz w:val="22"/>
                <w:szCs w:val="20"/>
              </w:rPr>
              <w:t>Outcomes do not correlate to the identified needs of the child</w:t>
            </w:r>
          </w:p>
          <w:p w14:paraId="50F8B665" w14:textId="77777777" w:rsidR="00543EF7" w:rsidRPr="00543EF7" w:rsidRDefault="00543EF7" w:rsidP="00543EF7">
            <w:pPr>
              <w:rPr>
                <w:rFonts w:ascii="Calibri" w:hAnsi="Calibri" w:cs="Calibri"/>
                <w:sz w:val="22"/>
                <w:szCs w:val="20"/>
              </w:rPr>
            </w:pPr>
            <w:r w:rsidRPr="00543EF7">
              <w:rPr>
                <w:rFonts w:ascii="Calibri" w:hAnsi="Calibri" w:cs="Calibri"/>
                <w:sz w:val="22"/>
                <w:szCs w:val="20"/>
              </w:rPr>
              <w:t>Outcomes are not SMART</w:t>
            </w:r>
          </w:p>
        </w:tc>
      </w:tr>
      <w:bookmarkEnd w:id="3"/>
    </w:tbl>
    <w:p w14:paraId="0E6256B2" w14:textId="77777777" w:rsidR="00DB2416" w:rsidRDefault="00DB2416" w:rsidP="003D7F9A">
      <w:pPr>
        <w:rPr>
          <w:rFonts w:asciiTheme="minorHAnsi" w:hAnsiTheme="minorHAnsi" w:cstheme="minorHAnsi"/>
          <w:bCs/>
          <w:iCs/>
          <w:sz w:val="22"/>
        </w:rPr>
      </w:pPr>
    </w:p>
    <w:p w14:paraId="34369356" w14:textId="66167814" w:rsidR="0092215D" w:rsidRDefault="003C2E32" w:rsidP="003C2E32">
      <w:pPr>
        <w:pStyle w:val="Heading2"/>
        <w:jc w:val="center"/>
      </w:pPr>
      <w:r>
        <w:lastRenderedPageBreak/>
        <w:t>STEP Funding Timetable Exemplar</w:t>
      </w:r>
    </w:p>
    <w:tbl>
      <w:tblPr>
        <w:tblStyle w:val="TableGrid"/>
        <w:tblpPr w:leftFromText="180" w:rightFromText="180" w:horzAnchor="margin" w:tblpY="559"/>
        <w:tblW w:w="14531" w:type="dxa"/>
        <w:tblLayout w:type="fixed"/>
        <w:tblLook w:val="04A0" w:firstRow="1" w:lastRow="0" w:firstColumn="1" w:lastColumn="0" w:noHBand="0" w:noVBand="1"/>
      </w:tblPr>
      <w:tblGrid>
        <w:gridCol w:w="562"/>
        <w:gridCol w:w="1269"/>
        <w:gridCol w:w="1270"/>
        <w:gridCol w:w="1270"/>
        <w:gridCol w:w="1270"/>
        <w:gridCol w:w="1270"/>
        <w:gridCol w:w="1270"/>
        <w:gridCol w:w="1270"/>
        <w:gridCol w:w="1270"/>
        <w:gridCol w:w="1270"/>
        <w:gridCol w:w="1270"/>
        <w:gridCol w:w="1270"/>
      </w:tblGrid>
      <w:tr w:rsidR="00E74B54" w:rsidRPr="00DC4B47" w14:paraId="0419A78E" w14:textId="77777777" w:rsidTr="00E74B54">
        <w:trPr>
          <w:cantSplit/>
          <w:trHeight w:val="270"/>
        </w:trPr>
        <w:tc>
          <w:tcPr>
            <w:tcW w:w="562" w:type="dxa"/>
            <w:shd w:val="clear" w:color="auto" w:fill="D0E6F6" w:themeFill="accent6" w:themeFillTint="33"/>
            <w:textDirection w:val="btLr"/>
            <w:vAlign w:val="center"/>
          </w:tcPr>
          <w:p w14:paraId="7F5B47AD" w14:textId="77777777" w:rsidR="003C2E32" w:rsidRPr="00DC4B47" w:rsidRDefault="003C2E32" w:rsidP="00987A67">
            <w:pPr>
              <w:ind w:left="-169" w:firstLine="19"/>
              <w:jc w:val="center"/>
              <w:rPr>
                <w:sz w:val="18"/>
                <w:szCs w:val="18"/>
              </w:rPr>
            </w:pPr>
          </w:p>
        </w:tc>
        <w:tc>
          <w:tcPr>
            <w:tcW w:w="1269" w:type="dxa"/>
            <w:shd w:val="clear" w:color="auto" w:fill="D0E6F6" w:themeFill="accent6" w:themeFillTint="33"/>
            <w:vAlign w:val="center"/>
          </w:tcPr>
          <w:p w14:paraId="6BD9A17F" w14:textId="77777777" w:rsidR="003C2E32" w:rsidRPr="00DC4B47" w:rsidRDefault="003C2E32" w:rsidP="00987A67">
            <w:pPr>
              <w:jc w:val="center"/>
              <w:rPr>
                <w:sz w:val="14"/>
                <w:szCs w:val="14"/>
              </w:rPr>
            </w:pPr>
            <w:r w:rsidRPr="00DC4B47">
              <w:rPr>
                <w:sz w:val="14"/>
                <w:szCs w:val="14"/>
              </w:rPr>
              <w:t>08.45 - 09.00</w:t>
            </w:r>
          </w:p>
        </w:tc>
        <w:tc>
          <w:tcPr>
            <w:tcW w:w="1270" w:type="dxa"/>
            <w:shd w:val="clear" w:color="auto" w:fill="D0E6F6" w:themeFill="accent6" w:themeFillTint="33"/>
            <w:vAlign w:val="center"/>
          </w:tcPr>
          <w:p w14:paraId="17156379" w14:textId="77777777" w:rsidR="003C2E32" w:rsidRPr="00DC4B47" w:rsidRDefault="003C2E32" w:rsidP="00987A67">
            <w:pPr>
              <w:jc w:val="center"/>
              <w:rPr>
                <w:sz w:val="14"/>
                <w:szCs w:val="14"/>
              </w:rPr>
            </w:pPr>
            <w:r w:rsidRPr="00DC4B47">
              <w:rPr>
                <w:sz w:val="14"/>
                <w:szCs w:val="14"/>
              </w:rPr>
              <w:t>09:00 – 09:</w:t>
            </w:r>
            <w:r>
              <w:rPr>
                <w:sz w:val="14"/>
                <w:szCs w:val="14"/>
              </w:rPr>
              <w:t>20</w:t>
            </w:r>
          </w:p>
        </w:tc>
        <w:tc>
          <w:tcPr>
            <w:tcW w:w="1270" w:type="dxa"/>
            <w:shd w:val="clear" w:color="auto" w:fill="D0E6F6" w:themeFill="accent6" w:themeFillTint="33"/>
            <w:vAlign w:val="center"/>
          </w:tcPr>
          <w:p w14:paraId="2A95E6CF" w14:textId="77777777" w:rsidR="003C2E32" w:rsidRPr="00DC4B47" w:rsidRDefault="003C2E32" w:rsidP="003C2E32">
            <w:pPr>
              <w:jc w:val="center"/>
              <w:rPr>
                <w:sz w:val="14"/>
                <w:szCs w:val="14"/>
              </w:rPr>
            </w:pPr>
            <w:r>
              <w:rPr>
                <w:sz w:val="14"/>
                <w:szCs w:val="14"/>
              </w:rPr>
              <w:t>09:20 – 09:30</w:t>
            </w:r>
          </w:p>
        </w:tc>
        <w:tc>
          <w:tcPr>
            <w:tcW w:w="1270" w:type="dxa"/>
            <w:shd w:val="clear" w:color="auto" w:fill="D0E6F6" w:themeFill="accent6" w:themeFillTint="33"/>
            <w:vAlign w:val="center"/>
          </w:tcPr>
          <w:p w14:paraId="53C46279" w14:textId="77777777" w:rsidR="003C2E32" w:rsidRPr="00DC4B47" w:rsidRDefault="003C2E32" w:rsidP="003C2E32">
            <w:pPr>
              <w:jc w:val="center"/>
              <w:rPr>
                <w:sz w:val="14"/>
                <w:szCs w:val="14"/>
              </w:rPr>
            </w:pPr>
            <w:r w:rsidRPr="00DC4B47">
              <w:rPr>
                <w:sz w:val="14"/>
                <w:szCs w:val="14"/>
              </w:rPr>
              <w:t>09:</w:t>
            </w:r>
            <w:r>
              <w:rPr>
                <w:sz w:val="14"/>
                <w:szCs w:val="14"/>
              </w:rPr>
              <w:t>30</w:t>
            </w:r>
            <w:r w:rsidRPr="00DC4B47">
              <w:rPr>
                <w:sz w:val="14"/>
                <w:szCs w:val="14"/>
              </w:rPr>
              <w:t xml:space="preserve"> – 10:30</w:t>
            </w:r>
          </w:p>
        </w:tc>
        <w:tc>
          <w:tcPr>
            <w:tcW w:w="1270" w:type="dxa"/>
            <w:shd w:val="clear" w:color="auto" w:fill="D0E6F6" w:themeFill="accent6" w:themeFillTint="33"/>
            <w:vAlign w:val="center"/>
          </w:tcPr>
          <w:p w14:paraId="30029C8A" w14:textId="77777777" w:rsidR="003C2E32" w:rsidRPr="00DC4B47" w:rsidRDefault="003C2E32" w:rsidP="003C2E32">
            <w:pPr>
              <w:jc w:val="center"/>
              <w:rPr>
                <w:sz w:val="14"/>
                <w:szCs w:val="14"/>
              </w:rPr>
            </w:pPr>
            <w:r w:rsidRPr="00DC4B47">
              <w:rPr>
                <w:sz w:val="14"/>
                <w:szCs w:val="14"/>
              </w:rPr>
              <w:t>10:30 – 10:45</w:t>
            </w:r>
          </w:p>
        </w:tc>
        <w:tc>
          <w:tcPr>
            <w:tcW w:w="1270" w:type="dxa"/>
            <w:shd w:val="clear" w:color="auto" w:fill="D0E6F6" w:themeFill="accent6" w:themeFillTint="33"/>
            <w:vAlign w:val="center"/>
          </w:tcPr>
          <w:p w14:paraId="6F3C3924" w14:textId="77777777" w:rsidR="003C2E32" w:rsidRPr="00DC4B47" w:rsidRDefault="003C2E32" w:rsidP="003C2E32">
            <w:pPr>
              <w:jc w:val="center"/>
              <w:rPr>
                <w:sz w:val="14"/>
                <w:szCs w:val="14"/>
              </w:rPr>
            </w:pPr>
            <w:r w:rsidRPr="00DC4B47">
              <w:rPr>
                <w:sz w:val="14"/>
                <w:szCs w:val="14"/>
              </w:rPr>
              <w:t>10:45 – 12:00</w:t>
            </w:r>
          </w:p>
        </w:tc>
        <w:tc>
          <w:tcPr>
            <w:tcW w:w="1270" w:type="dxa"/>
            <w:shd w:val="clear" w:color="auto" w:fill="D0E6F6" w:themeFill="accent6" w:themeFillTint="33"/>
            <w:vAlign w:val="center"/>
          </w:tcPr>
          <w:p w14:paraId="74690034" w14:textId="77777777" w:rsidR="003C2E32" w:rsidRPr="00DC4B47" w:rsidRDefault="003C2E32" w:rsidP="003C2E32">
            <w:pPr>
              <w:jc w:val="center"/>
              <w:rPr>
                <w:sz w:val="14"/>
                <w:szCs w:val="14"/>
              </w:rPr>
            </w:pPr>
            <w:r w:rsidRPr="00DC4B47">
              <w:rPr>
                <w:sz w:val="14"/>
                <w:szCs w:val="14"/>
              </w:rPr>
              <w:t>12:00 – 13:00</w:t>
            </w:r>
          </w:p>
        </w:tc>
        <w:tc>
          <w:tcPr>
            <w:tcW w:w="1270" w:type="dxa"/>
            <w:shd w:val="clear" w:color="auto" w:fill="D0E6F6" w:themeFill="accent6" w:themeFillTint="33"/>
            <w:vAlign w:val="center"/>
          </w:tcPr>
          <w:p w14:paraId="7B39BAE8" w14:textId="77777777" w:rsidR="003C2E32" w:rsidRPr="00DC4B47" w:rsidRDefault="003C2E32" w:rsidP="00987A67">
            <w:pPr>
              <w:jc w:val="center"/>
              <w:rPr>
                <w:sz w:val="14"/>
                <w:szCs w:val="14"/>
              </w:rPr>
            </w:pPr>
            <w:r w:rsidRPr="00DC4B47">
              <w:rPr>
                <w:sz w:val="14"/>
                <w:szCs w:val="14"/>
              </w:rPr>
              <w:t>13:00 – 14:00</w:t>
            </w:r>
          </w:p>
        </w:tc>
        <w:tc>
          <w:tcPr>
            <w:tcW w:w="1270" w:type="dxa"/>
            <w:shd w:val="clear" w:color="auto" w:fill="D0E6F6" w:themeFill="accent6" w:themeFillTint="33"/>
            <w:vAlign w:val="center"/>
          </w:tcPr>
          <w:p w14:paraId="70C44566" w14:textId="77777777" w:rsidR="003C2E32" w:rsidRPr="00DC4B47" w:rsidRDefault="003C2E32" w:rsidP="00987A67">
            <w:pPr>
              <w:jc w:val="center"/>
              <w:rPr>
                <w:sz w:val="14"/>
                <w:szCs w:val="14"/>
              </w:rPr>
            </w:pPr>
            <w:r w:rsidRPr="00DC4B47">
              <w:rPr>
                <w:sz w:val="14"/>
                <w:szCs w:val="14"/>
              </w:rPr>
              <w:t>14:00 – 14:15</w:t>
            </w:r>
          </w:p>
        </w:tc>
        <w:tc>
          <w:tcPr>
            <w:tcW w:w="1270" w:type="dxa"/>
            <w:shd w:val="clear" w:color="auto" w:fill="D0E6F6" w:themeFill="accent6" w:themeFillTint="33"/>
            <w:vAlign w:val="center"/>
          </w:tcPr>
          <w:p w14:paraId="34A74248" w14:textId="77777777" w:rsidR="003C2E32" w:rsidRPr="00DC4B47" w:rsidRDefault="003C2E32" w:rsidP="00987A67">
            <w:pPr>
              <w:jc w:val="center"/>
              <w:rPr>
                <w:sz w:val="14"/>
                <w:szCs w:val="14"/>
              </w:rPr>
            </w:pPr>
            <w:r w:rsidRPr="00DC4B47">
              <w:rPr>
                <w:sz w:val="14"/>
                <w:szCs w:val="14"/>
              </w:rPr>
              <w:t>14:15 – 15:</w:t>
            </w:r>
            <w:r>
              <w:rPr>
                <w:sz w:val="14"/>
                <w:szCs w:val="14"/>
              </w:rPr>
              <w:t>15</w:t>
            </w:r>
          </w:p>
        </w:tc>
        <w:tc>
          <w:tcPr>
            <w:tcW w:w="1270" w:type="dxa"/>
            <w:shd w:val="clear" w:color="auto" w:fill="D0E6F6" w:themeFill="accent6" w:themeFillTint="33"/>
            <w:vAlign w:val="center"/>
          </w:tcPr>
          <w:p w14:paraId="0FA6911C" w14:textId="77777777" w:rsidR="003C2E32" w:rsidRPr="00DC4B47" w:rsidRDefault="003C2E32" w:rsidP="00987A67">
            <w:pPr>
              <w:jc w:val="center"/>
              <w:rPr>
                <w:sz w:val="14"/>
                <w:szCs w:val="14"/>
              </w:rPr>
            </w:pPr>
            <w:r>
              <w:rPr>
                <w:sz w:val="14"/>
                <w:szCs w:val="14"/>
              </w:rPr>
              <w:t>15:15 – 15:30</w:t>
            </w:r>
          </w:p>
        </w:tc>
      </w:tr>
      <w:tr w:rsidR="00E74B54" w:rsidRPr="00DC4B47" w14:paraId="1CAEA072" w14:textId="77777777" w:rsidTr="00E74B54">
        <w:trPr>
          <w:cantSplit/>
          <w:trHeight w:val="1545"/>
        </w:trPr>
        <w:tc>
          <w:tcPr>
            <w:tcW w:w="562" w:type="dxa"/>
            <w:shd w:val="clear" w:color="auto" w:fill="D0E6F6" w:themeFill="accent6" w:themeFillTint="33"/>
            <w:textDirection w:val="btLr"/>
            <w:vAlign w:val="center"/>
          </w:tcPr>
          <w:p w14:paraId="673DB7E4" w14:textId="77777777" w:rsidR="003C2E32" w:rsidRPr="00DC4B47" w:rsidRDefault="003C2E32" w:rsidP="00987A67">
            <w:pPr>
              <w:spacing w:line="360" w:lineRule="auto"/>
              <w:ind w:left="-169" w:firstLine="19"/>
              <w:jc w:val="center"/>
              <w:rPr>
                <w:sz w:val="18"/>
                <w:szCs w:val="18"/>
              </w:rPr>
            </w:pPr>
            <w:r w:rsidRPr="00DC4B47">
              <w:rPr>
                <w:sz w:val="18"/>
                <w:szCs w:val="18"/>
              </w:rPr>
              <w:t>Monday</w:t>
            </w:r>
          </w:p>
        </w:tc>
        <w:tc>
          <w:tcPr>
            <w:tcW w:w="1269" w:type="dxa"/>
            <w:vMerge w:val="restart"/>
            <w:vAlign w:val="center"/>
          </w:tcPr>
          <w:p w14:paraId="45C4A6B4" w14:textId="77777777" w:rsidR="003C2E32" w:rsidRPr="00DC4B47" w:rsidRDefault="003C2E32" w:rsidP="00987A67">
            <w:pPr>
              <w:jc w:val="center"/>
              <w:rPr>
                <w:sz w:val="18"/>
                <w:szCs w:val="18"/>
              </w:rPr>
            </w:pPr>
            <w:r w:rsidRPr="00DC4B47">
              <w:rPr>
                <w:sz w:val="18"/>
                <w:szCs w:val="18"/>
              </w:rPr>
              <w:t>Soft start</w:t>
            </w:r>
          </w:p>
          <w:p w14:paraId="243C316B" w14:textId="77777777" w:rsidR="003C2E32" w:rsidRPr="00DC4B47" w:rsidRDefault="003C2E32" w:rsidP="00987A67">
            <w:pPr>
              <w:jc w:val="center"/>
              <w:rPr>
                <w:rFonts w:ascii="Calibri" w:hAnsi="Calibri" w:cs="Arial"/>
                <w:bCs/>
                <w:sz w:val="14"/>
                <w:szCs w:val="14"/>
              </w:rPr>
            </w:pPr>
          </w:p>
          <w:p w14:paraId="34408A2C" w14:textId="77777777" w:rsidR="003C2E32" w:rsidRPr="00DC4B47" w:rsidRDefault="003C2E32" w:rsidP="00987A67">
            <w:pPr>
              <w:jc w:val="center"/>
              <w:rPr>
                <w:rFonts w:ascii="Calibri" w:hAnsi="Calibri" w:cs="Arial"/>
                <w:b/>
                <w:sz w:val="14"/>
                <w:szCs w:val="14"/>
              </w:rPr>
            </w:pPr>
            <w:r w:rsidRPr="00DC4B47">
              <w:rPr>
                <w:rFonts w:ascii="Calibri" w:hAnsi="Calibri" w:cs="Arial"/>
                <w:b/>
                <w:sz w:val="14"/>
                <w:szCs w:val="14"/>
              </w:rPr>
              <w:t xml:space="preserve">PfA Breakfast &amp; Emotional </w:t>
            </w:r>
          </w:p>
          <w:p w14:paraId="2B018B95" w14:textId="77777777" w:rsidR="003C2E32" w:rsidRPr="00DC4B47" w:rsidRDefault="003C2E32" w:rsidP="00987A67">
            <w:pPr>
              <w:jc w:val="center"/>
              <w:rPr>
                <w:rFonts w:ascii="Calibri" w:hAnsi="Calibri" w:cs="Arial"/>
                <w:b/>
                <w:sz w:val="14"/>
                <w:szCs w:val="14"/>
              </w:rPr>
            </w:pPr>
            <w:r w:rsidRPr="00DC4B47">
              <w:rPr>
                <w:rFonts w:ascii="Calibri" w:hAnsi="Calibri" w:cs="Arial"/>
                <w:b/>
                <w:sz w:val="14"/>
                <w:szCs w:val="14"/>
              </w:rPr>
              <w:t>Check-In</w:t>
            </w:r>
          </w:p>
          <w:p w14:paraId="7554A58C" w14:textId="77777777" w:rsidR="003C2E32" w:rsidRPr="00DC4B47" w:rsidRDefault="003C2E32" w:rsidP="00987A67">
            <w:pPr>
              <w:jc w:val="center"/>
              <w:rPr>
                <w:rFonts w:ascii="Calibri" w:hAnsi="Calibri" w:cs="Arial"/>
                <w:bCs/>
                <w:sz w:val="14"/>
                <w:szCs w:val="14"/>
              </w:rPr>
            </w:pPr>
          </w:p>
          <w:p w14:paraId="4B5FE492" w14:textId="77777777" w:rsidR="003C2E32" w:rsidRPr="00DC4B47" w:rsidRDefault="003C2E32" w:rsidP="00987A67">
            <w:pPr>
              <w:jc w:val="center"/>
              <w:rPr>
                <w:rFonts w:ascii="Calibri" w:hAnsi="Calibri" w:cs="Arial"/>
                <w:bCs/>
                <w:sz w:val="14"/>
                <w:szCs w:val="14"/>
              </w:rPr>
            </w:pPr>
            <w:r w:rsidRPr="00DC4B47">
              <w:rPr>
                <w:rFonts w:ascii="Calibri" w:hAnsi="Calibri" w:cs="Arial"/>
                <w:bCs/>
                <w:sz w:val="14"/>
                <w:szCs w:val="14"/>
              </w:rPr>
              <w:t>1:4</w:t>
            </w:r>
          </w:p>
          <w:p w14:paraId="38D0807E" w14:textId="77777777" w:rsidR="003C2E32" w:rsidRPr="00DC4B47" w:rsidRDefault="003C2E32" w:rsidP="00987A67">
            <w:pPr>
              <w:jc w:val="center"/>
              <w:rPr>
                <w:rFonts w:ascii="Calibri" w:hAnsi="Calibri" w:cs="Arial"/>
                <w:bCs/>
                <w:sz w:val="14"/>
                <w:szCs w:val="14"/>
              </w:rPr>
            </w:pPr>
          </w:p>
          <w:p w14:paraId="31DE383E" w14:textId="77777777" w:rsidR="003C2E32" w:rsidRPr="00DC4B47" w:rsidRDefault="003C2E32" w:rsidP="00987A67">
            <w:pPr>
              <w:jc w:val="center"/>
              <w:rPr>
                <w:sz w:val="18"/>
                <w:szCs w:val="18"/>
              </w:rPr>
            </w:pPr>
            <w:r>
              <w:rPr>
                <w:rFonts w:ascii="Calibri" w:hAnsi="Calibri" w:cs="Arial"/>
                <w:bCs/>
                <w:sz w:val="14"/>
                <w:szCs w:val="14"/>
              </w:rPr>
              <w:t>15</w:t>
            </w:r>
            <w:r w:rsidRPr="00DC4B47">
              <w:rPr>
                <w:rFonts w:ascii="Calibri" w:hAnsi="Calibri" w:cs="Arial"/>
                <w:bCs/>
                <w:sz w:val="14"/>
                <w:szCs w:val="14"/>
              </w:rPr>
              <w:t xml:space="preserve"> mins</w:t>
            </w:r>
          </w:p>
        </w:tc>
        <w:tc>
          <w:tcPr>
            <w:tcW w:w="1270" w:type="dxa"/>
            <w:vAlign w:val="center"/>
          </w:tcPr>
          <w:p w14:paraId="35206D87" w14:textId="77777777" w:rsidR="003C2E32" w:rsidRPr="00DC4B47" w:rsidRDefault="003C2E32" w:rsidP="00987A67">
            <w:pPr>
              <w:jc w:val="center"/>
              <w:rPr>
                <w:sz w:val="18"/>
                <w:szCs w:val="18"/>
              </w:rPr>
            </w:pPr>
            <w:r w:rsidRPr="00DC4B47">
              <w:rPr>
                <w:sz w:val="18"/>
                <w:szCs w:val="18"/>
              </w:rPr>
              <w:t>Assembly</w:t>
            </w:r>
          </w:p>
          <w:p w14:paraId="3816A710" w14:textId="77777777" w:rsidR="003C2E32" w:rsidRPr="00DC4B47" w:rsidRDefault="003C2E32" w:rsidP="00987A67">
            <w:pPr>
              <w:jc w:val="center"/>
              <w:rPr>
                <w:rFonts w:ascii="Calibri" w:hAnsi="Calibri" w:cs="Arial"/>
                <w:b/>
                <w:sz w:val="14"/>
                <w:szCs w:val="14"/>
              </w:rPr>
            </w:pPr>
            <w:r w:rsidRPr="00DC4B47">
              <w:rPr>
                <w:rFonts w:ascii="Calibri" w:hAnsi="Calibri" w:cs="Arial"/>
                <w:b/>
                <w:sz w:val="14"/>
                <w:szCs w:val="14"/>
              </w:rPr>
              <w:t>Sensory Regulation as Required</w:t>
            </w:r>
          </w:p>
          <w:p w14:paraId="5813F48A" w14:textId="77777777" w:rsidR="003C2E32" w:rsidRPr="00DC4B47" w:rsidRDefault="003C2E32" w:rsidP="00987A67">
            <w:pPr>
              <w:jc w:val="center"/>
              <w:rPr>
                <w:rFonts w:ascii="Calibri" w:hAnsi="Calibri" w:cs="Arial"/>
                <w:bCs/>
                <w:sz w:val="14"/>
                <w:szCs w:val="14"/>
              </w:rPr>
            </w:pPr>
            <w:r w:rsidRPr="00DC4B47">
              <w:rPr>
                <w:rFonts w:ascii="Calibri" w:hAnsi="Calibri" w:cs="Arial"/>
                <w:bCs/>
                <w:sz w:val="14"/>
                <w:szCs w:val="14"/>
              </w:rPr>
              <w:t>1:2</w:t>
            </w:r>
          </w:p>
          <w:p w14:paraId="10994946" w14:textId="77777777" w:rsidR="003C2E32" w:rsidRPr="00DC4B47" w:rsidRDefault="003C2E32" w:rsidP="00987A67">
            <w:pPr>
              <w:jc w:val="center"/>
              <w:rPr>
                <w:rFonts w:ascii="Calibri" w:hAnsi="Calibri" w:cs="Arial"/>
                <w:bCs/>
                <w:sz w:val="14"/>
                <w:szCs w:val="14"/>
              </w:rPr>
            </w:pPr>
            <w:r>
              <w:rPr>
                <w:rFonts w:ascii="Calibri" w:hAnsi="Calibri" w:cs="Arial"/>
                <w:bCs/>
                <w:sz w:val="14"/>
                <w:szCs w:val="14"/>
              </w:rPr>
              <w:t>2</w:t>
            </w:r>
            <w:r w:rsidRPr="00DC4B47">
              <w:rPr>
                <w:rFonts w:ascii="Calibri" w:hAnsi="Calibri" w:cs="Arial"/>
                <w:bCs/>
                <w:sz w:val="14"/>
                <w:szCs w:val="14"/>
              </w:rPr>
              <w:t>0 Mins</w:t>
            </w:r>
          </w:p>
        </w:tc>
        <w:tc>
          <w:tcPr>
            <w:tcW w:w="1270" w:type="dxa"/>
            <w:vMerge w:val="restart"/>
            <w:vAlign w:val="center"/>
          </w:tcPr>
          <w:p w14:paraId="639CAE90" w14:textId="77777777" w:rsidR="003C2E32" w:rsidRDefault="003C2E32" w:rsidP="003C2E32">
            <w:pPr>
              <w:jc w:val="center"/>
              <w:rPr>
                <w:sz w:val="18"/>
                <w:szCs w:val="18"/>
              </w:rPr>
            </w:pPr>
            <w:r>
              <w:rPr>
                <w:sz w:val="18"/>
                <w:szCs w:val="18"/>
              </w:rPr>
              <w:t>Sensory Circuits</w:t>
            </w:r>
          </w:p>
          <w:p w14:paraId="0CE1A3A1" w14:textId="77777777" w:rsidR="003C2E32" w:rsidRDefault="003C2E32" w:rsidP="003C2E32">
            <w:pPr>
              <w:jc w:val="center"/>
              <w:rPr>
                <w:sz w:val="18"/>
                <w:szCs w:val="18"/>
              </w:rPr>
            </w:pPr>
          </w:p>
          <w:p w14:paraId="474F1EBF" w14:textId="77777777" w:rsidR="003C2E32" w:rsidRPr="00DC4B47" w:rsidRDefault="003C2E32" w:rsidP="003C2E32">
            <w:pPr>
              <w:jc w:val="center"/>
              <w:rPr>
                <w:rFonts w:ascii="Calibri" w:hAnsi="Calibri" w:cs="Arial"/>
                <w:b/>
                <w:sz w:val="14"/>
                <w:szCs w:val="14"/>
              </w:rPr>
            </w:pPr>
            <w:r w:rsidRPr="00DC4B47">
              <w:rPr>
                <w:rFonts w:ascii="Calibri" w:hAnsi="Calibri" w:cs="Arial"/>
                <w:b/>
                <w:sz w:val="14"/>
                <w:szCs w:val="14"/>
              </w:rPr>
              <w:t>End with calming activity</w:t>
            </w:r>
          </w:p>
          <w:p w14:paraId="415B5543" w14:textId="77777777" w:rsidR="003C2E32" w:rsidRPr="00DC4B47" w:rsidRDefault="003C2E32" w:rsidP="003C2E32">
            <w:pPr>
              <w:jc w:val="center"/>
              <w:rPr>
                <w:rFonts w:ascii="Calibri" w:hAnsi="Calibri" w:cs="Arial"/>
                <w:bCs/>
                <w:sz w:val="14"/>
                <w:szCs w:val="14"/>
              </w:rPr>
            </w:pPr>
          </w:p>
          <w:p w14:paraId="67E2B6F1" w14:textId="77777777" w:rsidR="003C2E32" w:rsidRPr="00DC4B47" w:rsidRDefault="003C2E32" w:rsidP="003C2E32">
            <w:pPr>
              <w:jc w:val="center"/>
              <w:rPr>
                <w:rFonts w:ascii="Calibri" w:hAnsi="Calibri" w:cs="Arial"/>
                <w:bCs/>
                <w:sz w:val="14"/>
                <w:szCs w:val="14"/>
              </w:rPr>
            </w:pPr>
            <w:r w:rsidRPr="00DC4B47">
              <w:rPr>
                <w:rFonts w:ascii="Calibri" w:hAnsi="Calibri" w:cs="Arial"/>
                <w:bCs/>
                <w:sz w:val="14"/>
                <w:szCs w:val="14"/>
              </w:rPr>
              <w:t>1:</w:t>
            </w:r>
            <w:r>
              <w:rPr>
                <w:rFonts w:ascii="Calibri" w:hAnsi="Calibri" w:cs="Arial"/>
                <w:bCs/>
                <w:sz w:val="14"/>
                <w:szCs w:val="14"/>
              </w:rPr>
              <w:t>4</w:t>
            </w:r>
          </w:p>
          <w:p w14:paraId="7F911FF3" w14:textId="77777777" w:rsidR="003C2E32" w:rsidRPr="00DC4B47" w:rsidRDefault="003C2E32" w:rsidP="003C2E32">
            <w:pPr>
              <w:jc w:val="center"/>
              <w:rPr>
                <w:rFonts w:ascii="Calibri" w:hAnsi="Calibri" w:cs="Arial"/>
                <w:bCs/>
                <w:sz w:val="14"/>
                <w:szCs w:val="14"/>
              </w:rPr>
            </w:pPr>
          </w:p>
          <w:p w14:paraId="7D83BCC3" w14:textId="77777777" w:rsidR="003C2E32" w:rsidRPr="00DC4B47" w:rsidRDefault="003C2E32" w:rsidP="003C2E32">
            <w:pPr>
              <w:jc w:val="center"/>
              <w:rPr>
                <w:sz w:val="18"/>
                <w:szCs w:val="18"/>
              </w:rPr>
            </w:pPr>
            <w:r>
              <w:rPr>
                <w:rFonts w:ascii="Calibri" w:hAnsi="Calibri" w:cs="Arial"/>
                <w:bCs/>
                <w:sz w:val="14"/>
                <w:szCs w:val="14"/>
              </w:rPr>
              <w:t>10 Mins</w:t>
            </w:r>
          </w:p>
        </w:tc>
        <w:tc>
          <w:tcPr>
            <w:tcW w:w="1270" w:type="dxa"/>
            <w:vMerge w:val="restart"/>
            <w:vAlign w:val="center"/>
          </w:tcPr>
          <w:p w14:paraId="41ED7F0C" w14:textId="77777777" w:rsidR="003C2E32" w:rsidRPr="00DC4B47" w:rsidRDefault="003C2E32" w:rsidP="003C2E32">
            <w:pPr>
              <w:jc w:val="center"/>
              <w:rPr>
                <w:sz w:val="18"/>
                <w:szCs w:val="18"/>
              </w:rPr>
            </w:pPr>
            <w:r>
              <w:rPr>
                <w:sz w:val="18"/>
                <w:szCs w:val="18"/>
              </w:rPr>
              <w:t>English</w:t>
            </w:r>
          </w:p>
          <w:p w14:paraId="4F2FD317" w14:textId="77777777" w:rsidR="003C2E32" w:rsidRDefault="003C2E32" w:rsidP="003C2E32">
            <w:pPr>
              <w:jc w:val="center"/>
              <w:rPr>
                <w:rFonts w:ascii="Calibri" w:hAnsi="Calibri" w:cs="Arial"/>
                <w:b/>
                <w:sz w:val="14"/>
                <w:szCs w:val="14"/>
              </w:rPr>
            </w:pPr>
            <w:r>
              <w:rPr>
                <w:rFonts w:ascii="Calibri" w:hAnsi="Calibri" w:cs="Arial"/>
                <w:b/>
                <w:sz w:val="14"/>
                <w:szCs w:val="14"/>
              </w:rPr>
              <w:t>Flexible small group support</w:t>
            </w:r>
          </w:p>
          <w:p w14:paraId="78C1EA20" w14:textId="77777777" w:rsidR="003C2E32" w:rsidRDefault="003C2E32" w:rsidP="003C2E32">
            <w:pPr>
              <w:jc w:val="center"/>
              <w:rPr>
                <w:rFonts w:ascii="Calibri" w:hAnsi="Calibri" w:cs="Arial"/>
                <w:b/>
                <w:sz w:val="14"/>
                <w:szCs w:val="14"/>
              </w:rPr>
            </w:pPr>
            <w:r>
              <w:rPr>
                <w:rFonts w:ascii="Calibri" w:hAnsi="Calibri" w:cs="Arial"/>
                <w:b/>
                <w:sz w:val="14"/>
                <w:szCs w:val="14"/>
              </w:rPr>
              <w:t>(scaffolding / adaptation of learning)</w:t>
            </w:r>
          </w:p>
          <w:p w14:paraId="423FC67C" w14:textId="77777777" w:rsidR="003C2E32" w:rsidRDefault="003C2E32" w:rsidP="003C2E32">
            <w:pPr>
              <w:jc w:val="center"/>
              <w:rPr>
                <w:rFonts w:ascii="Calibri" w:hAnsi="Calibri" w:cs="Arial"/>
                <w:bCs/>
                <w:sz w:val="14"/>
                <w:szCs w:val="14"/>
              </w:rPr>
            </w:pPr>
          </w:p>
          <w:p w14:paraId="23AE5C70" w14:textId="77777777" w:rsidR="003C2E32" w:rsidRDefault="003C2E32" w:rsidP="003C2E32">
            <w:pPr>
              <w:jc w:val="center"/>
              <w:rPr>
                <w:rFonts w:ascii="Calibri" w:hAnsi="Calibri" w:cs="Arial"/>
                <w:bCs/>
                <w:sz w:val="14"/>
                <w:szCs w:val="14"/>
              </w:rPr>
            </w:pPr>
            <w:r w:rsidRPr="00DC4B47">
              <w:rPr>
                <w:rFonts w:ascii="Calibri" w:hAnsi="Calibri" w:cs="Arial"/>
                <w:bCs/>
                <w:sz w:val="14"/>
                <w:szCs w:val="14"/>
              </w:rPr>
              <w:t>1:</w:t>
            </w:r>
            <w:r>
              <w:rPr>
                <w:rFonts w:ascii="Calibri" w:hAnsi="Calibri" w:cs="Arial"/>
                <w:bCs/>
                <w:sz w:val="14"/>
                <w:szCs w:val="14"/>
              </w:rPr>
              <w:t>6</w:t>
            </w:r>
          </w:p>
          <w:p w14:paraId="731D02E9" w14:textId="77777777" w:rsidR="003C2E32" w:rsidRPr="00DC4B47" w:rsidRDefault="003C2E32" w:rsidP="003C2E32">
            <w:pPr>
              <w:jc w:val="center"/>
              <w:rPr>
                <w:rFonts w:ascii="Calibri" w:hAnsi="Calibri" w:cs="Arial"/>
                <w:bCs/>
                <w:sz w:val="14"/>
                <w:szCs w:val="14"/>
              </w:rPr>
            </w:pPr>
          </w:p>
          <w:p w14:paraId="3B0596C3" w14:textId="77777777" w:rsidR="003C2E32" w:rsidRPr="00DC4B47" w:rsidRDefault="003C2E32" w:rsidP="003C2E32">
            <w:pPr>
              <w:jc w:val="center"/>
              <w:rPr>
                <w:sz w:val="18"/>
                <w:szCs w:val="18"/>
              </w:rPr>
            </w:pPr>
            <w:r>
              <w:rPr>
                <w:rFonts w:ascii="Calibri" w:hAnsi="Calibri" w:cs="Arial"/>
                <w:bCs/>
                <w:sz w:val="14"/>
                <w:szCs w:val="14"/>
              </w:rPr>
              <w:t>40</w:t>
            </w:r>
            <w:r w:rsidRPr="00DC4B47">
              <w:rPr>
                <w:rFonts w:ascii="Calibri" w:hAnsi="Calibri" w:cs="Arial"/>
                <w:bCs/>
                <w:sz w:val="14"/>
                <w:szCs w:val="14"/>
              </w:rPr>
              <w:t xml:space="preserve"> Mins</w:t>
            </w:r>
          </w:p>
        </w:tc>
        <w:tc>
          <w:tcPr>
            <w:tcW w:w="1270" w:type="dxa"/>
            <w:vMerge w:val="restart"/>
            <w:vAlign w:val="center"/>
          </w:tcPr>
          <w:p w14:paraId="607582E4" w14:textId="77777777" w:rsidR="003C2E32" w:rsidRPr="00DC4B47" w:rsidRDefault="003C2E32" w:rsidP="003C2E32">
            <w:pPr>
              <w:jc w:val="center"/>
              <w:rPr>
                <w:sz w:val="18"/>
                <w:szCs w:val="18"/>
              </w:rPr>
            </w:pPr>
            <w:r w:rsidRPr="00DC4B47">
              <w:rPr>
                <w:sz w:val="18"/>
                <w:szCs w:val="18"/>
              </w:rPr>
              <w:t>Break</w:t>
            </w:r>
          </w:p>
          <w:p w14:paraId="172B4CAE" w14:textId="77777777" w:rsidR="003C2E32" w:rsidRPr="00DC4B47" w:rsidRDefault="003C2E32" w:rsidP="003C2E32">
            <w:pPr>
              <w:jc w:val="center"/>
              <w:rPr>
                <w:rFonts w:ascii="Calibri" w:hAnsi="Calibri" w:cs="Arial"/>
                <w:bCs/>
                <w:sz w:val="14"/>
                <w:szCs w:val="14"/>
              </w:rPr>
            </w:pPr>
          </w:p>
          <w:p w14:paraId="73297F9B" w14:textId="77777777" w:rsidR="003C2E32" w:rsidRPr="00DC4B47" w:rsidRDefault="003C2E32" w:rsidP="003C2E32">
            <w:pPr>
              <w:jc w:val="center"/>
              <w:rPr>
                <w:rFonts w:ascii="Calibri" w:hAnsi="Calibri" w:cs="Arial"/>
                <w:b/>
                <w:sz w:val="14"/>
                <w:szCs w:val="14"/>
              </w:rPr>
            </w:pPr>
            <w:r w:rsidRPr="00DC4B47">
              <w:rPr>
                <w:rFonts w:ascii="Calibri" w:hAnsi="Calibri" w:cs="Arial"/>
                <w:b/>
                <w:sz w:val="14"/>
                <w:szCs w:val="14"/>
              </w:rPr>
              <w:t>Access to quiet space</w:t>
            </w:r>
          </w:p>
          <w:p w14:paraId="1A1159B1" w14:textId="77777777" w:rsidR="003C2E32" w:rsidRPr="00DC4B47" w:rsidRDefault="003C2E32" w:rsidP="003C2E32">
            <w:pPr>
              <w:jc w:val="center"/>
              <w:rPr>
                <w:rFonts w:ascii="Calibri" w:hAnsi="Calibri" w:cs="Arial"/>
                <w:bCs/>
                <w:sz w:val="14"/>
                <w:szCs w:val="14"/>
              </w:rPr>
            </w:pPr>
          </w:p>
          <w:p w14:paraId="26AAA2DC" w14:textId="77777777" w:rsidR="003C2E32" w:rsidRPr="00DC4B47" w:rsidRDefault="003C2E32" w:rsidP="003C2E32">
            <w:pPr>
              <w:jc w:val="center"/>
              <w:rPr>
                <w:rFonts w:ascii="Calibri" w:hAnsi="Calibri" w:cs="Arial"/>
                <w:bCs/>
                <w:sz w:val="14"/>
                <w:szCs w:val="14"/>
              </w:rPr>
            </w:pPr>
            <w:r w:rsidRPr="00DC4B47">
              <w:rPr>
                <w:rFonts w:ascii="Calibri" w:hAnsi="Calibri" w:cs="Arial"/>
                <w:bCs/>
                <w:sz w:val="14"/>
                <w:szCs w:val="14"/>
              </w:rPr>
              <w:t>1:6</w:t>
            </w:r>
          </w:p>
          <w:p w14:paraId="7B36974D" w14:textId="77777777" w:rsidR="003C2E32" w:rsidRPr="00DC4B47" w:rsidRDefault="003C2E32" w:rsidP="003C2E32">
            <w:pPr>
              <w:jc w:val="center"/>
              <w:rPr>
                <w:rFonts w:ascii="Calibri" w:hAnsi="Calibri" w:cs="Arial"/>
                <w:bCs/>
                <w:sz w:val="14"/>
                <w:szCs w:val="14"/>
              </w:rPr>
            </w:pPr>
          </w:p>
          <w:p w14:paraId="78576CD1" w14:textId="77777777" w:rsidR="003C2E32" w:rsidRPr="00DC4B47" w:rsidRDefault="003C2E32" w:rsidP="003C2E32">
            <w:pPr>
              <w:jc w:val="center"/>
              <w:rPr>
                <w:rFonts w:ascii="Calibri" w:hAnsi="Calibri" w:cs="Arial"/>
                <w:bCs/>
                <w:sz w:val="14"/>
                <w:szCs w:val="14"/>
              </w:rPr>
            </w:pPr>
            <w:r w:rsidRPr="00DC4B47">
              <w:rPr>
                <w:rFonts w:ascii="Calibri" w:hAnsi="Calibri" w:cs="Arial"/>
                <w:bCs/>
                <w:sz w:val="14"/>
                <w:szCs w:val="14"/>
              </w:rPr>
              <w:t>1</w:t>
            </w:r>
            <w:r>
              <w:rPr>
                <w:rFonts w:ascii="Calibri" w:hAnsi="Calibri" w:cs="Arial"/>
                <w:bCs/>
                <w:sz w:val="14"/>
                <w:szCs w:val="14"/>
              </w:rPr>
              <w:t>5</w:t>
            </w:r>
            <w:r w:rsidRPr="00DC4B47">
              <w:rPr>
                <w:rFonts w:ascii="Calibri" w:hAnsi="Calibri" w:cs="Arial"/>
                <w:bCs/>
                <w:sz w:val="14"/>
                <w:szCs w:val="14"/>
              </w:rPr>
              <w:t xml:space="preserve"> Mins</w:t>
            </w:r>
          </w:p>
        </w:tc>
        <w:tc>
          <w:tcPr>
            <w:tcW w:w="1270" w:type="dxa"/>
            <w:vMerge w:val="restart"/>
            <w:vAlign w:val="center"/>
          </w:tcPr>
          <w:p w14:paraId="4CF673E7" w14:textId="77777777" w:rsidR="003C2E32" w:rsidRPr="00DC4B47" w:rsidRDefault="003C2E32" w:rsidP="003C2E32">
            <w:pPr>
              <w:jc w:val="center"/>
              <w:rPr>
                <w:sz w:val="18"/>
                <w:szCs w:val="18"/>
              </w:rPr>
            </w:pPr>
            <w:r>
              <w:rPr>
                <w:sz w:val="18"/>
                <w:szCs w:val="18"/>
              </w:rPr>
              <w:t>Maths</w:t>
            </w:r>
          </w:p>
          <w:p w14:paraId="25C94700" w14:textId="77777777" w:rsidR="003C2E32" w:rsidRDefault="003C2E32" w:rsidP="003C2E32">
            <w:pPr>
              <w:jc w:val="center"/>
              <w:rPr>
                <w:rFonts w:ascii="Calibri" w:hAnsi="Calibri" w:cs="Arial"/>
                <w:bCs/>
                <w:sz w:val="14"/>
                <w:szCs w:val="14"/>
              </w:rPr>
            </w:pPr>
          </w:p>
          <w:p w14:paraId="35B59BEC" w14:textId="7D141516" w:rsidR="003C2E32" w:rsidRPr="00DC4B47" w:rsidRDefault="003C2E32" w:rsidP="003C2E32">
            <w:pPr>
              <w:jc w:val="center"/>
              <w:rPr>
                <w:rFonts w:ascii="Calibri" w:hAnsi="Calibri" w:cs="Arial"/>
                <w:b/>
                <w:sz w:val="14"/>
                <w:szCs w:val="14"/>
              </w:rPr>
            </w:pPr>
            <w:r w:rsidRPr="00DC4B47">
              <w:rPr>
                <w:rFonts w:ascii="Calibri" w:hAnsi="Calibri" w:cs="Arial"/>
                <w:b/>
                <w:sz w:val="14"/>
                <w:szCs w:val="14"/>
              </w:rPr>
              <w:t>Emotional</w:t>
            </w:r>
          </w:p>
          <w:p w14:paraId="132B8D2C" w14:textId="77777777" w:rsidR="003C2E32" w:rsidRPr="00DC4B47" w:rsidRDefault="003C2E32" w:rsidP="003C2E32">
            <w:pPr>
              <w:jc w:val="center"/>
              <w:rPr>
                <w:rFonts w:ascii="Calibri" w:hAnsi="Calibri" w:cs="Arial"/>
                <w:b/>
                <w:sz w:val="14"/>
                <w:szCs w:val="14"/>
              </w:rPr>
            </w:pPr>
            <w:r w:rsidRPr="00DC4B47">
              <w:rPr>
                <w:rFonts w:ascii="Calibri" w:hAnsi="Calibri" w:cs="Arial"/>
                <w:b/>
                <w:sz w:val="14"/>
                <w:szCs w:val="14"/>
              </w:rPr>
              <w:t>Check-In</w:t>
            </w:r>
          </w:p>
          <w:p w14:paraId="08D37BB2" w14:textId="77777777" w:rsidR="003C2E32" w:rsidRPr="00DC4B47" w:rsidRDefault="003C2E32" w:rsidP="003C2E32">
            <w:pPr>
              <w:jc w:val="center"/>
              <w:rPr>
                <w:rFonts w:ascii="Calibri" w:hAnsi="Calibri" w:cs="Arial"/>
                <w:bCs/>
                <w:sz w:val="14"/>
                <w:szCs w:val="14"/>
              </w:rPr>
            </w:pPr>
          </w:p>
          <w:p w14:paraId="343D23AC" w14:textId="77777777" w:rsidR="003C2E32" w:rsidRPr="00DC4B47" w:rsidRDefault="003C2E32" w:rsidP="003C2E32">
            <w:pPr>
              <w:jc w:val="center"/>
              <w:rPr>
                <w:rFonts w:ascii="Calibri" w:hAnsi="Calibri" w:cs="Arial"/>
                <w:bCs/>
                <w:sz w:val="14"/>
                <w:szCs w:val="14"/>
              </w:rPr>
            </w:pPr>
            <w:r w:rsidRPr="00DC4B47">
              <w:rPr>
                <w:rFonts w:ascii="Calibri" w:hAnsi="Calibri" w:cs="Arial"/>
                <w:bCs/>
                <w:sz w:val="14"/>
                <w:szCs w:val="14"/>
              </w:rPr>
              <w:t>1:2</w:t>
            </w:r>
          </w:p>
          <w:p w14:paraId="288E4651" w14:textId="77777777" w:rsidR="003C2E32" w:rsidRPr="00DC4B47" w:rsidRDefault="003C2E32" w:rsidP="003C2E32">
            <w:pPr>
              <w:jc w:val="center"/>
              <w:rPr>
                <w:rFonts w:ascii="Calibri" w:hAnsi="Calibri" w:cs="Arial"/>
                <w:bCs/>
                <w:sz w:val="14"/>
                <w:szCs w:val="14"/>
              </w:rPr>
            </w:pPr>
          </w:p>
          <w:p w14:paraId="752C5A2E" w14:textId="77777777" w:rsidR="003C2E32" w:rsidRPr="00DC4B47" w:rsidRDefault="003C2E32" w:rsidP="003C2E32">
            <w:pPr>
              <w:jc w:val="center"/>
              <w:rPr>
                <w:rFonts w:ascii="Calibri" w:hAnsi="Calibri" w:cs="Arial"/>
                <w:bCs/>
                <w:sz w:val="14"/>
                <w:szCs w:val="14"/>
              </w:rPr>
            </w:pPr>
            <w:r w:rsidRPr="00DC4B47">
              <w:rPr>
                <w:rFonts w:ascii="Calibri" w:hAnsi="Calibri" w:cs="Arial"/>
                <w:bCs/>
                <w:sz w:val="14"/>
                <w:szCs w:val="14"/>
              </w:rPr>
              <w:t>5 Mins</w:t>
            </w:r>
          </w:p>
          <w:p w14:paraId="418C7EDD" w14:textId="77777777" w:rsidR="003C2E32" w:rsidRPr="00DC4B47" w:rsidRDefault="003C2E32" w:rsidP="003C2E32">
            <w:pPr>
              <w:jc w:val="center"/>
              <w:rPr>
                <w:sz w:val="18"/>
                <w:szCs w:val="18"/>
              </w:rPr>
            </w:pPr>
          </w:p>
        </w:tc>
        <w:tc>
          <w:tcPr>
            <w:tcW w:w="1270" w:type="dxa"/>
            <w:vMerge w:val="restart"/>
            <w:vAlign w:val="center"/>
          </w:tcPr>
          <w:p w14:paraId="45EBAA58" w14:textId="77777777" w:rsidR="003C2E32" w:rsidRPr="00DC4B47" w:rsidRDefault="003C2E32" w:rsidP="003C2E32">
            <w:pPr>
              <w:jc w:val="center"/>
              <w:rPr>
                <w:sz w:val="18"/>
                <w:szCs w:val="18"/>
              </w:rPr>
            </w:pPr>
            <w:r w:rsidRPr="00DC4B47">
              <w:rPr>
                <w:sz w:val="18"/>
                <w:szCs w:val="18"/>
              </w:rPr>
              <w:t>Lunchtime</w:t>
            </w:r>
          </w:p>
          <w:p w14:paraId="7CF2C56F" w14:textId="77777777" w:rsidR="003C2E32" w:rsidRPr="00DC4B47" w:rsidRDefault="003C2E32" w:rsidP="003C2E32">
            <w:pPr>
              <w:jc w:val="center"/>
              <w:rPr>
                <w:sz w:val="18"/>
                <w:szCs w:val="18"/>
              </w:rPr>
            </w:pPr>
          </w:p>
          <w:p w14:paraId="088D40DE" w14:textId="77777777" w:rsidR="003C2E32" w:rsidRPr="00DC4B47" w:rsidRDefault="003C2E32" w:rsidP="003C2E32">
            <w:pPr>
              <w:jc w:val="center"/>
              <w:rPr>
                <w:rFonts w:ascii="Calibri" w:hAnsi="Calibri" w:cs="Arial"/>
                <w:b/>
                <w:sz w:val="14"/>
                <w:szCs w:val="14"/>
              </w:rPr>
            </w:pPr>
            <w:r w:rsidRPr="00DC4B47">
              <w:rPr>
                <w:rFonts w:ascii="Calibri" w:hAnsi="Calibri" w:cs="Arial"/>
                <w:b/>
                <w:sz w:val="14"/>
                <w:szCs w:val="14"/>
              </w:rPr>
              <w:t>Nurture Group</w:t>
            </w:r>
          </w:p>
          <w:p w14:paraId="2DFE3CC5" w14:textId="77777777" w:rsidR="003C2E32" w:rsidRPr="00DC4B47" w:rsidRDefault="003C2E32" w:rsidP="003C2E32">
            <w:pPr>
              <w:jc w:val="center"/>
              <w:rPr>
                <w:rFonts w:ascii="Calibri" w:hAnsi="Calibri" w:cs="Arial"/>
                <w:bCs/>
                <w:sz w:val="14"/>
                <w:szCs w:val="14"/>
              </w:rPr>
            </w:pPr>
          </w:p>
          <w:p w14:paraId="0D6E2D48" w14:textId="77777777" w:rsidR="003C2E32" w:rsidRPr="00DC4B47" w:rsidRDefault="003C2E32" w:rsidP="003C2E32">
            <w:pPr>
              <w:jc w:val="center"/>
              <w:rPr>
                <w:rFonts w:ascii="Calibri" w:hAnsi="Calibri" w:cs="Arial"/>
                <w:bCs/>
                <w:sz w:val="14"/>
                <w:szCs w:val="14"/>
              </w:rPr>
            </w:pPr>
            <w:r w:rsidRPr="00DC4B47">
              <w:rPr>
                <w:rFonts w:ascii="Calibri" w:hAnsi="Calibri" w:cs="Arial"/>
                <w:bCs/>
                <w:sz w:val="14"/>
                <w:szCs w:val="14"/>
              </w:rPr>
              <w:t>1:5</w:t>
            </w:r>
          </w:p>
          <w:p w14:paraId="56CBE338" w14:textId="77777777" w:rsidR="003C2E32" w:rsidRPr="00DC4B47" w:rsidRDefault="003C2E32" w:rsidP="003C2E32">
            <w:pPr>
              <w:jc w:val="center"/>
              <w:rPr>
                <w:rFonts w:ascii="Calibri" w:hAnsi="Calibri" w:cs="Arial"/>
                <w:bCs/>
                <w:sz w:val="14"/>
                <w:szCs w:val="14"/>
              </w:rPr>
            </w:pPr>
          </w:p>
          <w:p w14:paraId="66D8C0CB" w14:textId="77777777" w:rsidR="003C2E32" w:rsidRPr="00DC4B47" w:rsidRDefault="003C2E32" w:rsidP="003C2E32">
            <w:pPr>
              <w:jc w:val="center"/>
              <w:rPr>
                <w:rFonts w:ascii="Calibri" w:hAnsi="Calibri" w:cs="Arial"/>
                <w:bCs/>
                <w:sz w:val="14"/>
                <w:szCs w:val="14"/>
              </w:rPr>
            </w:pPr>
            <w:r w:rsidRPr="00DC4B47">
              <w:rPr>
                <w:rFonts w:ascii="Calibri" w:hAnsi="Calibri" w:cs="Arial"/>
                <w:bCs/>
                <w:sz w:val="14"/>
                <w:szCs w:val="14"/>
              </w:rPr>
              <w:t>30 Mins</w:t>
            </w:r>
          </w:p>
          <w:p w14:paraId="246929B4" w14:textId="77777777" w:rsidR="003C2E32" w:rsidRPr="00DC4B47" w:rsidRDefault="003C2E32" w:rsidP="003C2E32">
            <w:pPr>
              <w:jc w:val="center"/>
              <w:rPr>
                <w:rFonts w:ascii="Calibri" w:hAnsi="Calibri" w:cs="Arial"/>
                <w:bCs/>
                <w:sz w:val="14"/>
                <w:szCs w:val="14"/>
              </w:rPr>
            </w:pPr>
          </w:p>
          <w:p w14:paraId="71719ED4" w14:textId="77777777" w:rsidR="003C2E32" w:rsidRPr="00DC4B47" w:rsidRDefault="003C2E32" w:rsidP="003C2E32">
            <w:pPr>
              <w:jc w:val="center"/>
              <w:rPr>
                <w:sz w:val="18"/>
                <w:szCs w:val="18"/>
              </w:rPr>
            </w:pPr>
          </w:p>
        </w:tc>
        <w:tc>
          <w:tcPr>
            <w:tcW w:w="1270" w:type="dxa"/>
            <w:vAlign w:val="center"/>
          </w:tcPr>
          <w:p w14:paraId="2EE70CF3" w14:textId="77777777" w:rsidR="003C2E32" w:rsidRDefault="003C2E32" w:rsidP="00987A67">
            <w:pPr>
              <w:jc w:val="center"/>
              <w:rPr>
                <w:rFonts w:ascii="Calibri" w:hAnsi="Calibri" w:cs="Arial"/>
                <w:bCs/>
                <w:sz w:val="18"/>
                <w:szCs w:val="18"/>
              </w:rPr>
            </w:pPr>
            <w:r>
              <w:rPr>
                <w:rFonts w:ascii="Calibri" w:hAnsi="Calibri" w:cs="Arial"/>
                <w:bCs/>
                <w:sz w:val="18"/>
                <w:szCs w:val="18"/>
              </w:rPr>
              <w:t>Plus 1</w:t>
            </w:r>
          </w:p>
          <w:p w14:paraId="70E88956" w14:textId="77777777" w:rsidR="003C2E32" w:rsidRDefault="003C2E32" w:rsidP="00987A67">
            <w:pPr>
              <w:jc w:val="center"/>
              <w:rPr>
                <w:rFonts w:ascii="Calibri" w:hAnsi="Calibri" w:cs="Arial"/>
                <w:b/>
                <w:sz w:val="14"/>
                <w:szCs w:val="14"/>
              </w:rPr>
            </w:pPr>
          </w:p>
          <w:p w14:paraId="23E997E3" w14:textId="77777777" w:rsidR="003C2E32" w:rsidRDefault="003C2E32" w:rsidP="00987A67">
            <w:pPr>
              <w:jc w:val="center"/>
              <w:rPr>
                <w:rFonts w:ascii="Calibri" w:hAnsi="Calibri" w:cs="Arial"/>
                <w:b/>
                <w:sz w:val="14"/>
                <w:szCs w:val="14"/>
              </w:rPr>
            </w:pPr>
            <w:r>
              <w:rPr>
                <w:rFonts w:ascii="Calibri" w:hAnsi="Calibri" w:cs="Arial"/>
                <w:b/>
                <w:sz w:val="14"/>
                <w:szCs w:val="14"/>
              </w:rPr>
              <w:t>M</w:t>
            </w:r>
            <w:r w:rsidRPr="00450F5E">
              <w:rPr>
                <w:rFonts w:ascii="Calibri" w:hAnsi="Calibri" w:cs="Arial"/>
                <w:b/>
                <w:sz w:val="14"/>
                <w:szCs w:val="14"/>
              </w:rPr>
              <w:t>aths intervention</w:t>
            </w:r>
          </w:p>
          <w:p w14:paraId="5374ABD1" w14:textId="77777777" w:rsidR="003C2E32" w:rsidRDefault="003C2E32" w:rsidP="00987A67">
            <w:pPr>
              <w:jc w:val="center"/>
              <w:rPr>
                <w:rFonts w:ascii="Calibri" w:hAnsi="Calibri" w:cs="Arial"/>
                <w:bCs/>
                <w:sz w:val="18"/>
                <w:szCs w:val="18"/>
              </w:rPr>
            </w:pPr>
          </w:p>
          <w:p w14:paraId="3DF04E49" w14:textId="77777777" w:rsidR="003C2E32" w:rsidRDefault="003C2E32" w:rsidP="00987A67">
            <w:pPr>
              <w:jc w:val="center"/>
              <w:rPr>
                <w:rFonts w:ascii="Calibri" w:hAnsi="Calibri" w:cs="Arial"/>
                <w:bCs/>
                <w:sz w:val="14"/>
                <w:szCs w:val="14"/>
              </w:rPr>
            </w:pPr>
            <w:r w:rsidRPr="00450F5E">
              <w:rPr>
                <w:rFonts w:ascii="Calibri" w:hAnsi="Calibri" w:cs="Arial"/>
                <w:bCs/>
                <w:sz w:val="14"/>
                <w:szCs w:val="14"/>
              </w:rPr>
              <w:t>1:1</w:t>
            </w:r>
          </w:p>
          <w:p w14:paraId="46F82CCC" w14:textId="77777777" w:rsidR="003C2E32" w:rsidRPr="00450F5E" w:rsidRDefault="003C2E32" w:rsidP="00987A67">
            <w:pPr>
              <w:jc w:val="center"/>
              <w:rPr>
                <w:rFonts w:ascii="Calibri" w:hAnsi="Calibri" w:cs="Arial"/>
                <w:bCs/>
                <w:sz w:val="14"/>
                <w:szCs w:val="14"/>
              </w:rPr>
            </w:pPr>
          </w:p>
          <w:p w14:paraId="39DB65A0" w14:textId="77777777" w:rsidR="003C2E32" w:rsidRPr="00450F5E" w:rsidRDefault="003C2E32" w:rsidP="00987A67">
            <w:pPr>
              <w:jc w:val="center"/>
              <w:rPr>
                <w:rFonts w:ascii="Calibri" w:hAnsi="Calibri" w:cs="Arial"/>
                <w:bCs/>
                <w:sz w:val="14"/>
                <w:szCs w:val="14"/>
              </w:rPr>
            </w:pPr>
            <w:r w:rsidRPr="00450F5E">
              <w:rPr>
                <w:rFonts w:ascii="Calibri" w:hAnsi="Calibri" w:cs="Arial"/>
                <w:bCs/>
                <w:sz w:val="14"/>
                <w:szCs w:val="14"/>
              </w:rPr>
              <w:t xml:space="preserve">10 </w:t>
            </w:r>
            <w:r>
              <w:rPr>
                <w:rFonts w:ascii="Calibri" w:hAnsi="Calibri" w:cs="Arial"/>
                <w:bCs/>
                <w:sz w:val="14"/>
                <w:szCs w:val="14"/>
              </w:rPr>
              <w:t>M</w:t>
            </w:r>
            <w:r w:rsidRPr="00450F5E">
              <w:rPr>
                <w:rFonts w:ascii="Calibri" w:hAnsi="Calibri" w:cs="Arial"/>
                <w:bCs/>
                <w:sz w:val="14"/>
                <w:szCs w:val="14"/>
              </w:rPr>
              <w:t>ins</w:t>
            </w:r>
          </w:p>
        </w:tc>
        <w:tc>
          <w:tcPr>
            <w:tcW w:w="1270" w:type="dxa"/>
            <w:vMerge w:val="restart"/>
            <w:vAlign w:val="center"/>
          </w:tcPr>
          <w:p w14:paraId="30D68AF6" w14:textId="77777777" w:rsidR="003C2E32" w:rsidRPr="00DC4B47" w:rsidRDefault="003C2E32" w:rsidP="00987A67">
            <w:pPr>
              <w:jc w:val="center"/>
              <w:rPr>
                <w:sz w:val="18"/>
                <w:szCs w:val="18"/>
              </w:rPr>
            </w:pPr>
            <w:r w:rsidRPr="00DC4B47">
              <w:rPr>
                <w:sz w:val="18"/>
                <w:szCs w:val="18"/>
              </w:rPr>
              <w:t>Break</w:t>
            </w:r>
          </w:p>
          <w:p w14:paraId="319DBF0F" w14:textId="77777777" w:rsidR="003C2E32" w:rsidRPr="00DC4B47" w:rsidRDefault="003C2E32" w:rsidP="00987A67">
            <w:pPr>
              <w:jc w:val="center"/>
              <w:rPr>
                <w:rFonts w:ascii="Calibri" w:hAnsi="Calibri" w:cs="Arial"/>
                <w:bCs/>
                <w:sz w:val="14"/>
                <w:szCs w:val="14"/>
              </w:rPr>
            </w:pPr>
          </w:p>
          <w:p w14:paraId="0BB76510" w14:textId="77777777" w:rsidR="003C2E32" w:rsidRPr="00DC4B47" w:rsidRDefault="003C2E32" w:rsidP="00987A67">
            <w:pPr>
              <w:jc w:val="center"/>
              <w:rPr>
                <w:rFonts w:ascii="Calibri" w:hAnsi="Calibri" w:cs="Arial"/>
                <w:b/>
                <w:sz w:val="14"/>
                <w:szCs w:val="14"/>
              </w:rPr>
            </w:pPr>
            <w:r w:rsidRPr="00DC4B47">
              <w:rPr>
                <w:rFonts w:ascii="Calibri" w:hAnsi="Calibri" w:cs="Arial"/>
                <w:b/>
                <w:sz w:val="14"/>
                <w:szCs w:val="14"/>
              </w:rPr>
              <w:t>Access to quiet space</w:t>
            </w:r>
          </w:p>
          <w:p w14:paraId="15ACDCA6" w14:textId="77777777" w:rsidR="003C2E32" w:rsidRPr="00DC4B47" w:rsidRDefault="003C2E32" w:rsidP="00987A67">
            <w:pPr>
              <w:jc w:val="center"/>
              <w:rPr>
                <w:rFonts w:ascii="Calibri" w:hAnsi="Calibri" w:cs="Arial"/>
                <w:bCs/>
                <w:sz w:val="14"/>
                <w:szCs w:val="14"/>
              </w:rPr>
            </w:pPr>
          </w:p>
          <w:p w14:paraId="23998ADF" w14:textId="77777777" w:rsidR="003C2E32" w:rsidRPr="00DC4B47" w:rsidRDefault="003C2E32" w:rsidP="00987A67">
            <w:pPr>
              <w:jc w:val="center"/>
              <w:rPr>
                <w:rFonts w:ascii="Calibri" w:hAnsi="Calibri" w:cs="Arial"/>
                <w:bCs/>
                <w:sz w:val="14"/>
                <w:szCs w:val="14"/>
              </w:rPr>
            </w:pPr>
            <w:r w:rsidRPr="00DC4B47">
              <w:rPr>
                <w:rFonts w:ascii="Calibri" w:hAnsi="Calibri" w:cs="Arial"/>
                <w:bCs/>
                <w:sz w:val="14"/>
                <w:szCs w:val="14"/>
              </w:rPr>
              <w:t>1:6</w:t>
            </w:r>
          </w:p>
          <w:p w14:paraId="54715A30" w14:textId="77777777" w:rsidR="003C2E32" w:rsidRPr="00DC4B47" w:rsidRDefault="003C2E32" w:rsidP="00987A67">
            <w:pPr>
              <w:jc w:val="center"/>
              <w:rPr>
                <w:rFonts w:ascii="Calibri" w:hAnsi="Calibri" w:cs="Arial"/>
                <w:bCs/>
                <w:sz w:val="14"/>
                <w:szCs w:val="14"/>
              </w:rPr>
            </w:pPr>
          </w:p>
          <w:p w14:paraId="1B9DC0BA" w14:textId="77777777" w:rsidR="003C2E32" w:rsidRPr="00DC4B47" w:rsidRDefault="003C2E32" w:rsidP="00987A67">
            <w:pPr>
              <w:jc w:val="center"/>
              <w:rPr>
                <w:rFonts w:ascii="Calibri" w:hAnsi="Calibri" w:cs="Arial"/>
                <w:bCs/>
                <w:sz w:val="14"/>
                <w:szCs w:val="14"/>
              </w:rPr>
            </w:pPr>
            <w:r w:rsidRPr="00DC4B47">
              <w:rPr>
                <w:rFonts w:ascii="Calibri" w:hAnsi="Calibri" w:cs="Arial"/>
                <w:bCs/>
                <w:sz w:val="14"/>
                <w:szCs w:val="14"/>
              </w:rPr>
              <w:t>15 Mins</w:t>
            </w:r>
          </w:p>
        </w:tc>
        <w:tc>
          <w:tcPr>
            <w:tcW w:w="1270" w:type="dxa"/>
          </w:tcPr>
          <w:p w14:paraId="0DF75885" w14:textId="77777777" w:rsidR="003C2E32" w:rsidRPr="00DC4B47" w:rsidRDefault="003C2E32" w:rsidP="00987A67">
            <w:pPr>
              <w:rPr>
                <w:sz w:val="18"/>
                <w:szCs w:val="18"/>
              </w:rPr>
            </w:pPr>
          </w:p>
        </w:tc>
        <w:tc>
          <w:tcPr>
            <w:tcW w:w="1270" w:type="dxa"/>
            <w:vMerge w:val="restart"/>
            <w:vAlign w:val="center"/>
          </w:tcPr>
          <w:p w14:paraId="650B9B97" w14:textId="77777777" w:rsidR="003C2E32" w:rsidRPr="00DC4B47" w:rsidRDefault="003C2E32" w:rsidP="00987A67">
            <w:pPr>
              <w:jc w:val="center"/>
              <w:rPr>
                <w:sz w:val="18"/>
                <w:szCs w:val="18"/>
              </w:rPr>
            </w:pPr>
            <w:r w:rsidRPr="00DC4B47">
              <w:rPr>
                <w:sz w:val="18"/>
                <w:szCs w:val="18"/>
              </w:rPr>
              <w:t xml:space="preserve">Soft </w:t>
            </w:r>
            <w:r>
              <w:rPr>
                <w:sz w:val="18"/>
                <w:szCs w:val="18"/>
              </w:rPr>
              <w:t>Exit</w:t>
            </w:r>
          </w:p>
          <w:p w14:paraId="095CCF51" w14:textId="77777777" w:rsidR="003C2E32" w:rsidRPr="00DC4B47" w:rsidRDefault="003C2E32" w:rsidP="00987A67">
            <w:pPr>
              <w:jc w:val="center"/>
              <w:rPr>
                <w:rFonts w:ascii="Calibri" w:hAnsi="Calibri" w:cs="Arial"/>
                <w:bCs/>
                <w:sz w:val="14"/>
                <w:szCs w:val="14"/>
              </w:rPr>
            </w:pPr>
          </w:p>
          <w:p w14:paraId="488A19A3" w14:textId="77777777" w:rsidR="003C2E32" w:rsidRPr="00DC4B47" w:rsidRDefault="003C2E32" w:rsidP="00987A67">
            <w:pPr>
              <w:jc w:val="center"/>
              <w:rPr>
                <w:rFonts w:ascii="Calibri" w:hAnsi="Calibri" w:cs="Arial"/>
                <w:b/>
                <w:sz w:val="14"/>
                <w:szCs w:val="14"/>
              </w:rPr>
            </w:pPr>
            <w:r w:rsidRPr="00DC4B47">
              <w:rPr>
                <w:rFonts w:ascii="Calibri" w:hAnsi="Calibri" w:cs="Arial"/>
                <w:b/>
                <w:sz w:val="14"/>
                <w:szCs w:val="14"/>
              </w:rPr>
              <w:t>Emotional</w:t>
            </w:r>
          </w:p>
          <w:p w14:paraId="7506596E" w14:textId="77777777" w:rsidR="003C2E32" w:rsidRPr="00DC4B47" w:rsidRDefault="003C2E32" w:rsidP="00987A67">
            <w:pPr>
              <w:jc w:val="center"/>
              <w:rPr>
                <w:rFonts w:ascii="Calibri" w:hAnsi="Calibri" w:cs="Arial"/>
                <w:b/>
                <w:sz w:val="14"/>
                <w:szCs w:val="14"/>
              </w:rPr>
            </w:pPr>
            <w:r w:rsidRPr="00DC4B47">
              <w:rPr>
                <w:rFonts w:ascii="Calibri" w:hAnsi="Calibri" w:cs="Arial"/>
                <w:b/>
                <w:sz w:val="14"/>
                <w:szCs w:val="14"/>
              </w:rPr>
              <w:t>Check-In</w:t>
            </w:r>
            <w:r>
              <w:rPr>
                <w:rFonts w:ascii="Calibri" w:hAnsi="Calibri" w:cs="Arial"/>
                <w:b/>
                <w:sz w:val="14"/>
                <w:szCs w:val="14"/>
              </w:rPr>
              <w:t xml:space="preserve"> </w:t>
            </w:r>
          </w:p>
          <w:p w14:paraId="0FA1BB4A" w14:textId="77777777" w:rsidR="003C2E32" w:rsidRPr="00DC4B47" w:rsidRDefault="003C2E32" w:rsidP="00987A67">
            <w:pPr>
              <w:jc w:val="center"/>
              <w:rPr>
                <w:rFonts w:ascii="Calibri" w:hAnsi="Calibri" w:cs="Arial"/>
                <w:bCs/>
                <w:sz w:val="14"/>
                <w:szCs w:val="14"/>
              </w:rPr>
            </w:pPr>
          </w:p>
          <w:p w14:paraId="4A9AAFC4" w14:textId="77777777" w:rsidR="003C2E32" w:rsidRPr="00DC4B47" w:rsidRDefault="003C2E32" w:rsidP="00987A67">
            <w:pPr>
              <w:jc w:val="center"/>
              <w:rPr>
                <w:rFonts w:ascii="Calibri" w:hAnsi="Calibri" w:cs="Arial"/>
                <w:bCs/>
                <w:sz w:val="14"/>
                <w:szCs w:val="14"/>
              </w:rPr>
            </w:pPr>
            <w:r w:rsidRPr="00DC4B47">
              <w:rPr>
                <w:rFonts w:ascii="Calibri" w:hAnsi="Calibri" w:cs="Arial"/>
                <w:bCs/>
                <w:sz w:val="14"/>
                <w:szCs w:val="14"/>
              </w:rPr>
              <w:t>1:</w:t>
            </w:r>
            <w:r>
              <w:rPr>
                <w:rFonts w:ascii="Calibri" w:hAnsi="Calibri" w:cs="Arial"/>
                <w:bCs/>
                <w:sz w:val="14"/>
                <w:szCs w:val="14"/>
              </w:rPr>
              <w:t>2</w:t>
            </w:r>
          </w:p>
          <w:p w14:paraId="2B55E0A6" w14:textId="77777777" w:rsidR="003C2E32" w:rsidRPr="00DC4B47" w:rsidRDefault="003C2E32" w:rsidP="00987A67">
            <w:pPr>
              <w:jc w:val="center"/>
              <w:rPr>
                <w:rFonts w:ascii="Calibri" w:hAnsi="Calibri" w:cs="Arial"/>
                <w:bCs/>
                <w:sz w:val="14"/>
                <w:szCs w:val="14"/>
              </w:rPr>
            </w:pPr>
          </w:p>
          <w:p w14:paraId="1898101B" w14:textId="77777777" w:rsidR="003C2E32" w:rsidRPr="00DC4B47" w:rsidRDefault="003C2E32" w:rsidP="00987A67">
            <w:pPr>
              <w:jc w:val="center"/>
              <w:rPr>
                <w:sz w:val="18"/>
                <w:szCs w:val="18"/>
              </w:rPr>
            </w:pPr>
            <w:r>
              <w:rPr>
                <w:rFonts w:ascii="Calibri" w:hAnsi="Calibri" w:cs="Arial"/>
                <w:bCs/>
                <w:sz w:val="14"/>
                <w:szCs w:val="14"/>
              </w:rPr>
              <w:t>15</w:t>
            </w:r>
            <w:r w:rsidRPr="00DC4B47">
              <w:rPr>
                <w:rFonts w:ascii="Calibri" w:hAnsi="Calibri" w:cs="Arial"/>
                <w:bCs/>
                <w:sz w:val="14"/>
                <w:szCs w:val="14"/>
              </w:rPr>
              <w:t xml:space="preserve"> mins</w:t>
            </w:r>
          </w:p>
        </w:tc>
      </w:tr>
      <w:tr w:rsidR="003C2E32" w:rsidRPr="00DC4B47" w14:paraId="5C922557" w14:textId="77777777" w:rsidTr="00E74B54">
        <w:trPr>
          <w:cantSplit/>
          <w:trHeight w:val="1545"/>
        </w:trPr>
        <w:tc>
          <w:tcPr>
            <w:tcW w:w="562" w:type="dxa"/>
            <w:shd w:val="clear" w:color="auto" w:fill="D0E6F6" w:themeFill="accent6" w:themeFillTint="33"/>
            <w:textDirection w:val="btLr"/>
            <w:vAlign w:val="center"/>
          </w:tcPr>
          <w:p w14:paraId="724DF793" w14:textId="77777777" w:rsidR="003C2E32" w:rsidRPr="00DC4B47" w:rsidRDefault="003C2E32" w:rsidP="00987A67">
            <w:pPr>
              <w:spacing w:line="360" w:lineRule="auto"/>
              <w:ind w:left="-169" w:firstLine="19"/>
              <w:jc w:val="center"/>
              <w:rPr>
                <w:sz w:val="18"/>
                <w:szCs w:val="18"/>
              </w:rPr>
            </w:pPr>
            <w:r w:rsidRPr="00DC4B47">
              <w:rPr>
                <w:sz w:val="18"/>
                <w:szCs w:val="18"/>
              </w:rPr>
              <w:t>Tuesday</w:t>
            </w:r>
          </w:p>
        </w:tc>
        <w:tc>
          <w:tcPr>
            <w:tcW w:w="1269" w:type="dxa"/>
            <w:vMerge/>
          </w:tcPr>
          <w:p w14:paraId="341FAB27" w14:textId="77777777" w:rsidR="003C2E32" w:rsidRPr="00DC4B47" w:rsidRDefault="003C2E32" w:rsidP="00987A67">
            <w:pPr>
              <w:rPr>
                <w:sz w:val="18"/>
                <w:szCs w:val="18"/>
              </w:rPr>
            </w:pPr>
          </w:p>
        </w:tc>
        <w:tc>
          <w:tcPr>
            <w:tcW w:w="1270" w:type="dxa"/>
            <w:vAlign w:val="center"/>
          </w:tcPr>
          <w:p w14:paraId="3DF5CE9C" w14:textId="77777777" w:rsidR="003C2E32" w:rsidRPr="00DC4B47" w:rsidRDefault="003C2E32" w:rsidP="00987A67">
            <w:pPr>
              <w:jc w:val="center"/>
              <w:rPr>
                <w:rFonts w:ascii="Calibri" w:hAnsi="Calibri" w:cs="Arial"/>
                <w:b/>
                <w:sz w:val="14"/>
                <w:szCs w:val="14"/>
              </w:rPr>
            </w:pPr>
            <w:r w:rsidRPr="00DC4B47">
              <w:rPr>
                <w:rFonts w:ascii="Calibri" w:hAnsi="Calibri" w:cs="Arial"/>
                <w:b/>
                <w:sz w:val="14"/>
                <w:szCs w:val="14"/>
              </w:rPr>
              <w:t>Write From The Start / Small Group Guided Reading</w:t>
            </w:r>
          </w:p>
          <w:p w14:paraId="1A040F8A" w14:textId="77777777" w:rsidR="003C2E32" w:rsidRPr="00DC4B47" w:rsidRDefault="003C2E32" w:rsidP="00987A67">
            <w:pPr>
              <w:jc w:val="center"/>
              <w:rPr>
                <w:rFonts w:ascii="Calibri" w:hAnsi="Calibri" w:cs="Arial"/>
                <w:bCs/>
                <w:sz w:val="14"/>
                <w:szCs w:val="14"/>
              </w:rPr>
            </w:pPr>
            <w:r w:rsidRPr="00DC4B47">
              <w:rPr>
                <w:rFonts w:ascii="Calibri" w:hAnsi="Calibri" w:cs="Arial"/>
                <w:bCs/>
                <w:sz w:val="14"/>
                <w:szCs w:val="14"/>
              </w:rPr>
              <w:t xml:space="preserve">1:4 </w:t>
            </w:r>
          </w:p>
          <w:p w14:paraId="28D4E4F2" w14:textId="77777777" w:rsidR="003C2E32" w:rsidRPr="00DC4B47" w:rsidRDefault="003C2E32" w:rsidP="00987A67">
            <w:pPr>
              <w:jc w:val="center"/>
              <w:rPr>
                <w:rFonts w:ascii="Calibri" w:hAnsi="Calibri" w:cs="Arial"/>
                <w:bCs/>
                <w:sz w:val="14"/>
                <w:szCs w:val="14"/>
              </w:rPr>
            </w:pPr>
            <w:r>
              <w:rPr>
                <w:rFonts w:ascii="Calibri" w:hAnsi="Calibri" w:cs="Arial"/>
                <w:bCs/>
                <w:sz w:val="14"/>
                <w:szCs w:val="14"/>
              </w:rPr>
              <w:t>15</w:t>
            </w:r>
            <w:r w:rsidRPr="00DC4B47">
              <w:rPr>
                <w:rFonts w:ascii="Calibri" w:hAnsi="Calibri" w:cs="Arial"/>
                <w:bCs/>
                <w:sz w:val="14"/>
                <w:szCs w:val="14"/>
              </w:rPr>
              <w:t xml:space="preserve"> mins</w:t>
            </w:r>
          </w:p>
        </w:tc>
        <w:tc>
          <w:tcPr>
            <w:tcW w:w="1270" w:type="dxa"/>
            <w:vMerge/>
          </w:tcPr>
          <w:p w14:paraId="0A5FDA27" w14:textId="77777777" w:rsidR="003C2E32" w:rsidRPr="00DC4B47" w:rsidRDefault="003C2E32" w:rsidP="00987A67">
            <w:pPr>
              <w:rPr>
                <w:sz w:val="18"/>
                <w:szCs w:val="18"/>
              </w:rPr>
            </w:pPr>
          </w:p>
        </w:tc>
        <w:tc>
          <w:tcPr>
            <w:tcW w:w="1270" w:type="dxa"/>
            <w:vMerge/>
          </w:tcPr>
          <w:p w14:paraId="1A40D387" w14:textId="77777777" w:rsidR="003C2E32" w:rsidRPr="00DC4B47" w:rsidRDefault="003C2E32" w:rsidP="00987A67">
            <w:pPr>
              <w:rPr>
                <w:sz w:val="18"/>
                <w:szCs w:val="18"/>
              </w:rPr>
            </w:pPr>
          </w:p>
        </w:tc>
        <w:tc>
          <w:tcPr>
            <w:tcW w:w="1270" w:type="dxa"/>
            <w:vMerge/>
          </w:tcPr>
          <w:p w14:paraId="43FF8EDA" w14:textId="77777777" w:rsidR="003C2E32" w:rsidRPr="00DC4B47" w:rsidRDefault="003C2E32" w:rsidP="00987A67">
            <w:pPr>
              <w:rPr>
                <w:sz w:val="18"/>
                <w:szCs w:val="18"/>
              </w:rPr>
            </w:pPr>
          </w:p>
        </w:tc>
        <w:tc>
          <w:tcPr>
            <w:tcW w:w="1270" w:type="dxa"/>
            <w:vMerge/>
          </w:tcPr>
          <w:p w14:paraId="3E180C80" w14:textId="77777777" w:rsidR="003C2E32" w:rsidRPr="00DC4B47" w:rsidRDefault="003C2E32" w:rsidP="00987A67">
            <w:pPr>
              <w:rPr>
                <w:sz w:val="18"/>
                <w:szCs w:val="18"/>
              </w:rPr>
            </w:pPr>
          </w:p>
        </w:tc>
        <w:tc>
          <w:tcPr>
            <w:tcW w:w="1270" w:type="dxa"/>
            <w:vMerge/>
          </w:tcPr>
          <w:p w14:paraId="3BA45308" w14:textId="77777777" w:rsidR="003C2E32" w:rsidRPr="00DC4B47" w:rsidRDefault="003C2E32" w:rsidP="00987A67">
            <w:pPr>
              <w:rPr>
                <w:sz w:val="18"/>
                <w:szCs w:val="18"/>
              </w:rPr>
            </w:pPr>
          </w:p>
        </w:tc>
        <w:tc>
          <w:tcPr>
            <w:tcW w:w="1270" w:type="dxa"/>
            <w:vAlign w:val="center"/>
          </w:tcPr>
          <w:p w14:paraId="2A122D27" w14:textId="77777777" w:rsidR="003C2E32" w:rsidRDefault="003C2E32" w:rsidP="00987A67">
            <w:pPr>
              <w:jc w:val="center"/>
              <w:rPr>
                <w:rFonts w:ascii="Calibri" w:hAnsi="Calibri" w:cs="Arial"/>
                <w:bCs/>
                <w:sz w:val="18"/>
                <w:szCs w:val="18"/>
              </w:rPr>
            </w:pPr>
            <w:r>
              <w:rPr>
                <w:rFonts w:ascii="Calibri" w:hAnsi="Calibri" w:cs="Arial"/>
                <w:bCs/>
                <w:sz w:val="18"/>
                <w:szCs w:val="18"/>
              </w:rPr>
              <w:t>PE</w:t>
            </w:r>
          </w:p>
          <w:p w14:paraId="165B0371" w14:textId="77777777" w:rsidR="003C2E32" w:rsidRDefault="003C2E32" w:rsidP="00987A67">
            <w:pPr>
              <w:jc w:val="center"/>
              <w:rPr>
                <w:rFonts w:ascii="Calibri" w:hAnsi="Calibri" w:cs="Arial"/>
                <w:b/>
                <w:sz w:val="14"/>
                <w:szCs w:val="14"/>
              </w:rPr>
            </w:pPr>
          </w:p>
          <w:p w14:paraId="3C9FCA76" w14:textId="77777777" w:rsidR="003C2E32" w:rsidRPr="00DC4B47" w:rsidRDefault="003C2E32" w:rsidP="00987A67">
            <w:pPr>
              <w:jc w:val="center"/>
              <w:rPr>
                <w:rFonts w:ascii="Calibri" w:hAnsi="Calibri" w:cs="Arial"/>
                <w:b/>
                <w:sz w:val="14"/>
                <w:szCs w:val="14"/>
              </w:rPr>
            </w:pPr>
            <w:r>
              <w:rPr>
                <w:rFonts w:ascii="Calibri" w:hAnsi="Calibri" w:cs="Arial"/>
                <w:b/>
                <w:sz w:val="14"/>
                <w:szCs w:val="14"/>
              </w:rPr>
              <w:t xml:space="preserve">Emotional </w:t>
            </w:r>
            <w:r w:rsidRPr="00DC4B47">
              <w:rPr>
                <w:rFonts w:ascii="Calibri" w:hAnsi="Calibri" w:cs="Arial"/>
                <w:b/>
                <w:sz w:val="14"/>
                <w:szCs w:val="14"/>
              </w:rPr>
              <w:t>Regulation as Required</w:t>
            </w:r>
          </w:p>
          <w:p w14:paraId="5926E47C" w14:textId="77777777" w:rsidR="003C2E32" w:rsidRDefault="003C2E32" w:rsidP="00987A67">
            <w:pPr>
              <w:jc w:val="center"/>
              <w:rPr>
                <w:rFonts w:ascii="Calibri" w:hAnsi="Calibri" w:cs="Arial"/>
                <w:b/>
                <w:sz w:val="14"/>
                <w:szCs w:val="14"/>
              </w:rPr>
            </w:pPr>
          </w:p>
          <w:p w14:paraId="44185E29" w14:textId="77777777" w:rsidR="003C2E32" w:rsidRPr="00DC4B47" w:rsidRDefault="003C2E32" w:rsidP="00987A67">
            <w:pPr>
              <w:jc w:val="center"/>
              <w:rPr>
                <w:rFonts w:ascii="Calibri" w:hAnsi="Calibri" w:cs="Arial"/>
                <w:bCs/>
                <w:sz w:val="14"/>
                <w:szCs w:val="14"/>
              </w:rPr>
            </w:pPr>
            <w:r w:rsidRPr="00DC4B47">
              <w:rPr>
                <w:rFonts w:ascii="Calibri" w:hAnsi="Calibri" w:cs="Arial"/>
                <w:bCs/>
                <w:sz w:val="14"/>
                <w:szCs w:val="14"/>
              </w:rPr>
              <w:t>1:</w:t>
            </w:r>
            <w:r>
              <w:rPr>
                <w:rFonts w:ascii="Calibri" w:hAnsi="Calibri" w:cs="Arial"/>
                <w:bCs/>
                <w:sz w:val="14"/>
                <w:szCs w:val="14"/>
              </w:rPr>
              <w:t>4</w:t>
            </w:r>
          </w:p>
          <w:p w14:paraId="75E1210F" w14:textId="77777777" w:rsidR="003C2E32" w:rsidRPr="00DC4B47" w:rsidRDefault="003C2E32" w:rsidP="00987A67">
            <w:pPr>
              <w:jc w:val="center"/>
              <w:rPr>
                <w:rFonts w:ascii="Calibri" w:hAnsi="Calibri" w:cs="Arial"/>
                <w:bCs/>
                <w:sz w:val="14"/>
                <w:szCs w:val="14"/>
              </w:rPr>
            </w:pPr>
          </w:p>
          <w:p w14:paraId="58BE384E" w14:textId="77777777" w:rsidR="003C2E32" w:rsidRPr="00DC4B47" w:rsidRDefault="003C2E32" w:rsidP="00987A67">
            <w:pPr>
              <w:jc w:val="center"/>
              <w:rPr>
                <w:sz w:val="18"/>
                <w:szCs w:val="18"/>
              </w:rPr>
            </w:pPr>
            <w:r>
              <w:rPr>
                <w:rFonts w:ascii="Calibri" w:hAnsi="Calibri" w:cs="Arial"/>
                <w:bCs/>
                <w:sz w:val="14"/>
                <w:szCs w:val="14"/>
              </w:rPr>
              <w:t>60 Mins</w:t>
            </w:r>
          </w:p>
        </w:tc>
        <w:tc>
          <w:tcPr>
            <w:tcW w:w="1270" w:type="dxa"/>
            <w:vMerge/>
          </w:tcPr>
          <w:p w14:paraId="1482EBEB" w14:textId="77777777" w:rsidR="003C2E32" w:rsidRPr="00DC4B47" w:rsidRDefault="003C2E32" w:rsidP="00987A67">
            <w:pPr>
              <w:rPr>
                <w:sz w:val="18"/>
                <w:szCs w:val="18"/>
              </w:rPr>
            </w:pPr>
          </w:p>
        </w:tc>
        <w:tc>
          <w:tcPr>
            <w:tcW w:w="1270" w:type="dxa"/>
            <w:vAlign w:val="center"/>
          </w:tcPr>
          <w:p w14:paraId="7DA15934" w14:textId="77777777" w:rsidR="003C2E32" w:rsidRDefault="003C2E32" w:rsidP="00987A67">
            <w:pPr>
              <w:jc w:val="center"/>
              <w:rPr>
                <w:sz w:val="18"/>
                <w:szCs w:val="18"/>
              </w:rPr>
            </w:pPr>
            <w:r>
              <w:rPr>
                <w:sz w:val="18"/>
                <w:szCs w:val="18"/>
              </w:rPr>
              <w:t>Lego Therapy</w:t>
            </w:r>
          </w:p>
          <w:p w14:paraId="31E820FE" w14:textId="77777777" w:rsidR="003C2E32" w:rsidRDefault="003C2E32" w:rsidP="00987A67">
            <w:pPr>
              <w:jc w:val="center"/>
              <w:rPr>
                <w:sz w:val="18"/>
                <w:szCs w:val="18"/>
              </w:rPr>
            </w:pPr>
          </w:p>
          <w:p w14:paraId="314688EA" w14:textId="77777777" w:rsidR="003C2E32" w:rsidRPr="00DC4B47" w:rsidRDefault="003C2E32" w:rsidP="00987A67">
            <w:pPr>
              <w:jc w:val="center"/>
              <w:rPr>
                <w:rFonts w:ascii="Calibri" w:hAnsi="Calibri" w:cs="Arial"/>
                <w:bCs/>
                <w:sz w:val="14"/>
                <w:szCs w:val="14"/>
              </w:rPr>
            </w:pPr>
            <w:r w:rsidRPr="00DC4B47">
              <w:rPr>
                <w:rFonts w:ascii="Calibri" w:hAnsi="Calibri" w:cs="Arial"/>
                <w:bCs/>
                <w:sz w:val="14"/>
                <w:szCs w:val="14"/>
              </w:rPr>
              <w:t>1:</w:t>
            </w:r>
            <w:r>
              <w:rPr>
                <w:rFonts w:ascii="Calibri" w:hAnsi="Calibri" w:cs="Arial"/>
                <w:bCs/>
                <w:sz w:val="14"/>
                <w:szCs w:val="14"/>
              </w:rPr>
              <w:t>4</w:t>
            </w:r>
          </w:p>
          <w:p w14:paraId="79FF4E46" w14:textId="77777777" w:rsidR="003C2E32" w:rsidRPr="00DC4B47" w:rsidRDefault="003C2E32" w:rsidP="00987A67">
            <w:pPr>
              <w:jc w:val="center"/>
              <w:rPr>
                <w:rFonts w:ascii="Calibri" w:hAnsi="Calibri" w:cs="Arial"/>
                <w:bCs/>
                <w:sz w:val="14"/>
                <w:szCs w:val="14"/>
              </w:rPr>
            </w:pPr>
          </w:p>
          <w:p w14:paraId="526AC864" w14:textId="77777777" w:rsidR="003C2E32" w:rsidRPr="00DC4B47" w:rsidRDefault="003C2E32" w:rsidP="00987A67">
            <w:pPr>
              <w:jc w:val="center"/>
              <w:rPr>
                <w:sz w:val="18"/>
                <w:szCs w:val="18"/>
              </w:rPr>
            </w:pPr>
            <w:r>
              <w:rPr>
                <w:rFonts w:ascii="Calibri" w:hAnsi="Calibri" w:cs="Arial"/>
                <w:bCs/>
                <w:sz w:val="14"/>
                <w:szCs w:val="14"/>
              </w:rPr>
              <w:t>20 Mins</w:t>
            </w:r>
          </w:p>
        </w:tc>
        <w:tc>
          <w:tcPr>
            <w:tcW w:w="1270" w:type="dxa"/>
            <w:vMerge/>
          </w:tcPr>
          <w:p w14:paraId="659692FF" w14:textId="77777777" w:rsidR="003C2E32" w:rsidRPr="00DC4B47" w:rsidRDefault="003C2E32" w:rsidP="00987A67">
            <w:pPr>
              <w:rPr>
                <w:sz w:val="18"/>
                <w:szCs w:val="18"/>
              </w:rPr>
            </w:pPr>
          </w:p>
        </w:tc>
      </w:tr>
      <w:tr w:rsidR="003C2E32" w:rsidRPr="00DC4B47" w14:paraId="3A5F1D36" w14:textId="77777777" w:rsidTr="00E74B54">
        <w:trPr>
          <w:cantSplit/>
          <w:trHeight w:val="1545"/>
        </w:trPr>
        <w:tc>
          <w:tcPr>
            <w:tcW w:w="562" w:type="dxa"/>
            <w:shd w:val="clear" w:color="auto" w:fill="D0E6F6" w:themeFill="accent6" w:themeFillTint="33"/>
            <w:textDirection w:val="btLr"/>
            <w:vAlign w:val="center"/>
          </w:tcPr>
          <w:p w14:paraId="6DAF593D" w14:textId="77777777" w:rsidR="003C2E32" w:rsidRPr="00DC4B47" w:rsidRDefault="003C2E32" w:rsidP="00987A67">
            <w:pPr>
              <w:spacing w:line="360" w:lineRule="auto"/>
              <w:ind w:left="-169" w:firstLine="19"/>
              <w:jc w:val="center"/>
              <w:rPr>
                <w:sz w:val="18"/>
                <w:szCs w:val="18"/>
              </w:rPr>
            </w:pPr>
            <w:r w:rsidRPr="00DC4B47">
              <w:rPr>
                <w:sz w:val="18"/>
                <w:szCs w:val="18"/>
              </w:rPr>
              <w:t>Wednesday</w:t>
            </w:r>
          </w:p>
        </w:tc>
        <w:tc>
          <w:tcPr>
            <w:tcW w:w="1269" w:type="dxa"/>
            <w:vMerge/>
          </w:tcPr>
          <w:p w14:paraId="7AFF62CE" w14:textId="77777777" w:rsidR="003C2E32" w:rsidRPr="00DC4B47" w:rsidRDefault="003C2E32" w:rsidP="00987A67">
            <w:pPr>
              <w:rPr>
                <w:sz w:val="18"/>
                <w:szCs w:val="18"/>
              </w:rPr>
            </w:pPr>
          </w:p>
        </w:tc>
        <w:tc>
          <w:tcPr>
            <w:tcW w:w="1270" w:type="dxa"/>
            <w:vAlign w:val="center"/>
          </w:tcPr>
          <w:p w14:paraId="327E7D89" w14:textId="77777777" w:rsidR="003C2E32" w:rsidRPr="00DC4B47" w:rsidRDefault="003C2E32" w:rsidP="00987A67">
            <w:pPr>
              <w:jc w:val="center"/>
              <w:rPr>
                <w:rFonts w:ascii="Calibri" w:hAnsi="Calibri" w:cs="Arial"/>
                <w:b/>
                <w:sz w:val="14"/>
                <w:szCs w:val="14"/>
              </w:rPr>
            </w:pPr>
            <w:r>
              <w:rPr>
                <w:rFonts w:ascii="Calibri" w:hAnsi="Calibri" w:cs="Arial"/>
                <w:b/>
                <w:sz w:val="14"/>
                <w:szCs w:val="14"/>
              </w:rPr>
              <w:t>SPaG Small Group</w:t>
            </w:r>
          </w:p>
          <w:p w14:paraId="39A2BE9F" w14:textId="77777777" w:rsidR="003C2E32" w:rsidRPr="00DC4B47" w:rsidRDefault="003C2E32" w:rsidP="00987A67">
            <w:pPr>
              <w:jc w:val="center"/>
              <w:rPr>
                <w:rFonts w:ascii="Calibri" w:hAnsi="Calibri" w:cs="Arial"/>
                <w:bCs/>
                <w:sz w:val="14"/>
                <w:szCs w:val="14"/>
              </w:rPr>
            </w:pPr>
            <w:r w:rsidRPr="00DC4B47">
              <w:rPr>
                <w:rFonts w:ascii="Calibri" w:hAnsi="Calibri" w:cs="Arial"/>
                <w:bCs/>
                <w:sz w:val="14"/>
                <w:szCs w:val="14"/>
              </w:rPr>
              <w:t xml:space="preserve">1:4 </w:t>
            </w:r>
          </w:p>
          <w:p w14:paraId="3377A909" w14:textId="77777777" w:rsidR="003C2E32" w:rsidRPr="00450F5E" w:rsidRDefault="003C2E32" w:rsidP="00987A67">
            <w:pPr>
              <w:jc w:val="center"/>
              <w:rPr>
                <w:rFonts w:ascii="Calibri" w:hAnsi="Calibri" w:cs="Arial"/>
                <w:bCs/>
                <w:sz w:val="14"/>
                <w:szCs w:val="14"/>
              </w:rPr>
            </w:pPr>
            <w:r>
              <w:rPr>
                <w:rFonts w:ascii="Calibri" w:hAnsi="Calibri" w:cs="Arial"/>
                <w:bCs/>
                <w:sz w:val="14"/>
                <w:szCs w:val="14"/>
              </w:rPr>
              <w:t>15</w:t>
            </w:r>
            <w:r w:rsidRPr="00DC4B47">
              <w:rPr>
                <w:rFonts w:ascii="Calibri" w:hAnsi="Calibri" w:cs="Arial"/>
                <w:bCs/>
                <w:sz w:val="14"/>
                <w:szCs w:val="14"/>
              </w:rPr>
              <w:t xml:space="preserve"> mins</w:t>
            </w:r>
          </w:p>
        </w:tc>
        <w:tc>
          <w:tcPr>
            <w:tcW w:w="1270" w:type="dxa"/>
            <w:vMerge/>
          </w:tcPr>
          <w:p w14:paraId="109C9EDB" w14:textId="77777777" w:rsidR="003C2E32" w:rsidRPr="00DC4B47" w:rsidRDefault="003C2E32" w:rsidP="00987A67">
            <w:pPr>
              <w:rPr>
                <w:sz w:val="18"/>
                <w:szCs w:val="18"/>
              </w:rPr>
            </w:pPr>
          </w:p>
        </w:tc>
        <w:tc>
          <w:tcPr>
            <w:tcW w:w="1270" w:type="dxa"/>
            <w:vMerge/>
          </w:tcPr>
          <w:p w14:paraId="6386F034" w14:textId="77777777" w:rsidR="003C2E32" w:rsidRPr="00DC4B47" w:rsidRDefault="003C2E32" w:rsidP="00987A67">
            <w:pPr>
              <w:rPr>
                <w:sz w:val="18"/>
                <w:szCs w:val="18"/>
              </w:rPr>
            </w:pPr>
          </w:p>
        </w:tc>
        <w:tc>
          <w:tcPr>
            <w:tcW w:w="1270" w:type="dxa"/>
            <w:vMerge/>
          </w:tcPr>
          <w:p w14:paraId="4AB9E104" w14:textId="77777777" w:rsidR="003C2E32" w:rsidRPr="00DC4B47" w:rsidRDefault="003C2E32" w:rsidP="00987A67">
            <w:pPr>
              <w:rPr>
                <w:sz w:val="18"/>
                <w:szCs w:val="18"/>
              </w:rPr>
            </w:pPr>
          </w:p>
        </w:tc>
        <w:tc>
          <w:tcPr>
            <w:tcW w:w="1270" w:type="dxa"/>
            <w:vMerge/>
          </w:tcPr>
          <w:p w14:paraId="57FA4665" w14:textId="77777777" w:rsidR="003C2E32" w:rsidRPr="00DC4B47" w:rsidRDefault="003C2E32" w:rsidP="00987A67">
            <w:pPr>
              <w:rPr>
                <w:sz w:val="18"/>
                <w:szCs w:val="18"/>
              </w:rPr>
            </w:pPr>
          </w:p>
        </w:tc>
        <w:tc>
          <w:tcPr>
            <w:tcW w:w="1270" w:type="dxa"/>
            <w:vMerge/>
          </w:tcPr>
          <w:p w14:paraId="376B78C5" w14:textId="77777777" w:rsidR="003C2E32" w:rsidRPr="00DC4B47" w:rsidRDefault="003C2E32" w:rsidP="00987A67">
            <w:pPr>
              <w:rPr>
                <w:sz w:val="18"/>
                <w:szCs w:val="18"/>
              </w:rPr>
            </w:pPr>
          </w:p>
        </w:tc>
        <w:tc>
          <w:tcPr>
            <w:tcW w:w="1270" w:type="dxa"/>
            <w:vAlign w:val="center"/>
          </w:tcPr>
          <w:p w14:paraId="3104DC82" w14:textId="77777777" w:rsidR="003C2E32" w:rsidRPr="00DC4B47" w:rsidRDefault="003C2E32" w:rsidP="00987A67">
            <w:pPr>
              <w:jc w:val="center"/>
              <w:rPr>
                <w:sz w:val="18"/>
                <w:szCs w:val="18"/>
              </w:rPr>
            </w:pPr>
          </w:p>
        </w:tc>
        <w:tc>
          <w:tcPr>
            <w:tcW w:w="1270" w:type="dxa"/>
            <w:vMerge/>
          </w:tcPr>
          <w:p w14:paraId="228C30E2" w14:textId="77777777" w:rsidR="003C2E32" w:rsidRPr="00DC4B47" w:rsidRDefault="003C2E32" w:rsidP="00987A67">
            <w:pPr>
              <w:rPr>
                <w:sz w:val="18"/>
                <w:szCs w:val="18"/>
              </w:rPr>
            </w:pPr>
          </w:p>
        </w:tc>
        <w:tc>
          <w:tcPr>
            <w:tcW w:w="1270" w:type="dxa"/>
          </w:tcPr>
          <w:p w14:paraId="773C16C7" w14:textId="77777777" w:rsidR="003C2E32" w:rsidRPr="00DC4B47" w:rsidRDefault="003C2E32" w:rsidP="00987A67">
            <w:pPr>
              <w:rPr>
                <w:sz w:val="18"/>
                <w:szCs w:val="18"/>
              </w:rPr>
            </w:pPr>
          </w:p>
        </w:tc>
        <w:tc>
          <w:tcPr>
            <w:tcW w:w="1270" w:type="dxa"/>
            <w:vMerge/>
          </w:tcPr>
          <w:p w14:paraId="5742D7D6" w14:textId="77777777" w:rsidR="003C2E32" w:rsidRPr="00DC4B47" w:rsidRDefault="003C2E32" w:rsidP="00987A67">
            <w:pPr>
              <w:rPr>
                <w:sz w:val="18"/>
                <w:szCs w:val="18"/>
              </w:rPr>
            </w:pPr>
          </w:p>
        </w:tc>
      </w:tr>
      <w:tr w:rsidR="003C2E32" w:rsidRPr="00DC4B47" w14:paraId="46CB1AEE" w14:textId="77777777" w:rsidTr="00E74B54">
        <w:trPr>
          <w:cantSplit/>
          <w:trHeight w:val="1545"/>
        </w:trPr>
        <w:tc>
          <w:tcPr>
            <w:tcW w:w="562" w:type="dxa"/>
            <w:shd w:val="clear" w:color="auto" w:fill="D0E6F6" w:themeFill="accent6" w:themeFillTint="33"/>
            <w:textDirection w:val="btLr"/>
            <w:vAlign w:val="center"/>
          </w:tcPr>
          <w:p w14:paraId="6DF06CBE" w14:textId="77777777" w:rsidR="003C2E32" w:rsidRPr="00DC4B47" w:rsidRDefault="003C2E32" w:rsidP="00987A67">
            <w:pPr>
              <w:spacing w:line="360" w:lineRule="auto"/>
              <w:ind w:left="-169" w:firstLine="19"/>
              <w:jc w:val="center"/>
              <w:rPr>
                <w:sz w:val="18"/>
                <w:szCs w:val="18"/>
              </w:rPr>
            </w:pPr>
            <w:r w:rsidRPr="00DC4B47">
              <w:rPr>
                <w:sz w:val="18"/>
                <w:szCs w:val="18"/>
              </w:rPr>
              <w:t>Thursday</w:t>
            </w:r>
          </w:p>
        </w:tc>
        <w:tc>
          <w:tcPr>
            <w:tcW w:w="1269" w:type="dxa"/>
            <w:vMerge/>
          </w:tcPr>
          <w:p w14:paraId="3B88A3D8" w14:textId="77777777" w:rsidR="003C2E32" w:rsidRPr="00DC4B47" w:rsidRDefault="003C2E32" w:rsidP="00987A67">
            <w:pPr>
              <w:rPr>
                <w:sz w:val="18"/>
                <w:szCs w:val="18"/>
              </w:rPr>
            </w:pPr>
          </w:p>
        </w:tc>
        <w:tc>
          <w:tcPr>
            <w:tcW w:w="1270" w:type="dxa"/>
            <w:vAlign w:val="center"/>
          </w:tcPr>
          <w:p w14:paraId="040261D3" w14:textId="77777777" w:rsidR="003C2E32" w:rsidRPr="00DC4B47" w:rsidRDefault="003C2E32" w:rsidP="00987A67">
            <w:pPr>
              <w:jc w:val="center"/>
              <w:rPr>
                <w:rFonts w:ascii="Calibri" w:hAnsi="Calibri" w:cs="Arial"/>
                <w:b/>
                <w:sz w:val="14"/>
                <w:szCs w:val="14"/>
              </w:rPr>
            </w:pPr>
            <w:r w:rsidRPr="00DC4B47">
              <w:rPr>
                <w:rFonts w:ascii="Calibri" w:hAnsi="Calibri" w:cs="Arial"/>
                <w:b/>
                <w:sz w:val="14"/>
                <w:szCs w:val="14"/>
              </w:rPr>
              <w:t>Write From The Start / Small Group Guided Reading</w:t>
            </w:r>
          </w:p>
          <w:p w14:paraId="6A6F92A6" w14:textId="77777777" w:rsidR="003C2E32" w:rsidRPr="00DC4B47" w:rsidRDefault="003C2E32" w:rsidP="00987A67">
            <w:pPr>
              <w:jc w:val="center"/>
              <w:rPr>
                <w:rFonts w:ascii="Calibri" w:hAnsi="Calibri" w:cs="Arial"/>
                <w:bCs/>
                <w:sz w:val="14"/>
                <w:szCs w:val="14"/>
              </w:rPr>
            </w:pPr>
            <w:r w:rsidRPr="00DC4B47">
              <w:rPr>
                <w:rFonts w:ascii="Calibri" w:hAnsi="Calibri" w:cs="Arial"/>
                <w:bCs/>
                <w:sz w:val="14"/>
                <w:szCs w:val="14"/>
              </w:rPr>
              <w:t xml:space="preserve">1:4 </w:t>
            </w:r>
          </w:p>
          <w:p w14:paraId="5559D095" w14:textId="77777777" w:rsidR="003C2E32" w:rsidRPr="00450F5E" w:rsidRDefault="003C2E32" w:rsidP="00987A67">
            <w:pPr>
              <w:jc w:val="center"/>
              <w:rPr>
                <w:rFonts w:ascii="Calibri" w:hAnsi="Calibri" w:cs="Arial"/>
                <w:bCs/>
                <w:sz w:val="14"/>
                <w:szCs w:val="14"/>
              </w:rPr>
            </w:pPr>
            <w:r>
              <w:rPr>
                <w:rFonts w:ascii="Calibri" w:hAnsi="Calibri" w:cs="Arial"/>
                <w:bCs/>
                <w:sz w:val="14"/>
                <w:szCs w:val="14"/>
              </w:rPr>
              <w:t>15</w:t>
            </w:r>
            <w:r w:rsidRPr="00DC4B47">
              <w:rPr>
                <w:rFonts w:ascii="Calibri" w:hAnsi="Calibri" w:cs="Arial"/>
                <w:bCs/>
                <w:sz w:val="14"/>
                <w:szCs w:val="14"/>
              </w:rPr>
              <w:t xml:space="preserve"> mins</w:t>
            </w:r>
          </w:p>
        </w:tc>
        <w:tc>
          <w:tcPr>
            <w:tcW w:w="1270" w:type="dxa"/>
            <w:vMerge/>
          </w:tcPr>
          <w:p w14:paraId="71A3BBA4" w14:textId="77777777" w:rsidR="003C2E32" w:rsidRPr="00DC4B47" w:rsidRDefault="003C2E32" w:rsidP="00987A67">
            <w:pPr>
              <w:rPr>
                <w:sz w:val="18"/>
                <w:szCs w:val="18"/>
              </w:rPr>
            </w:pPr>
          </w:p>
        </w:tc>
        <w:tc>
          <w:tcPr>
            <w:tcW w:w="1270" w:type="dxa"/>
            <w:vMerge/>
          </w:tcPr>
          <w:p w14:paraId="316288C7" w14:textId="77777777" w:rsidR="003C2E32" w:rsidRPr="00DC4B47" w:rsidRDefault="003C2E32" w:rsidP="00987A67">
            <w:pPr>
              <w:rPr>
                <w:sz w:val="18"/>
                <w:szCs w:val="18"/>
              </w:rPr>
            </w:pPr>
          </w:p>
        </w:tc>
        <w:tc>
          <w:tcPr>
            <w:tcW w:w="1270" w:type="dxa"/>
            <w:vMerge/>
          </w:tcPr>
          <w:p w14:paraId="2C25FA0F" w14:textId="77777777" w:rsidR="003C2E32" w:rsidRPr="00DC4B47" w:rsidRDefault="003C2E32" w:rsidP="00987A67">
            <w:pPr>
              <w:rPr>
                <w:sz w:val="18"/>
                <w:szCs w:val="18"/>
              </w:rPr>
            </w:pPr>
          </w:p>
        </w:tc>
        <w:tc>
          <w:tcPr>
            <w:tcW w:w="1270" w:type="dxa"/>
            <w:vMerge/>
          </w:tcPr>
          <w:p w14:paraId="47F6DB07" w14:textId="77777777" w:rsidR="003C2E32" w:rsidRPr="00DC4B47" w:rsidRDefault="003C2E32" w:rsidP="00987A67">
            <w:pPr>
              <w:rPr>
                <w:sz w:val="18"/>
                <w:szCs w:val="18"/>
              </w:rPr>
            </w:pPr>
          </w:p>
        </w:tc>
        <w:tc>
          <w:tcPr>
            <w:tcW w:w="1270" w:type="dxa"/>
            <w:vMerge/>
          </w:tcPr>
          <w:p w14:paraId="643D839E" w14:textId="77777777" w:rsidR="003C2E32" w:rsidRPr="00DC4B47" w:rsidRDefault="003C2E32" w:rsidP="00987A67">
            <w:pPr>
              <w:rPr>
                <w:sz w:val="18"/>
                <w:szCs w:val="18"/>
              </w:rPr>
            </w:pPr>
          </w:p>
        </w:tc>
        <w:tc>
          <w:tcPr>
            <w:tcW w:w="1270" w:type="dxa"/>
            <w:vAlign w:val="center"/>
          </w:tcPr>
          <w:p w14:paraId="26EF29B4" w14:textId="77777777" w:rsidR="003C2E32" w:rsidRDefault="003C2E32" w:rsidP="00987A67">
            <w:pPr>
              <w:jc w:val="center"/>
              <w:rPr>
                <w:rFonts w:ascii="Calibri" w:hAnsi="Calibri" w:cs="Arial"/>
                <w:bCs/>
                <w:sz w:val="18"/>
                <w:szCs w:val="18"/>
              </w:rPr>
            </w:pPr>
            <w:r>
              <w:rPr>
                <w:rFonts w:ascii="Calibri" w:hAnsi="Calibri" w:cs="Arial"/>
                <w:bCs/>
                <w:sz w:val="18"/>
                <w:szCs w:val="18"/>
              </w:rPr>
              <w:t>Plus 1</w:t>
            </w:r>
          </w:p>
          <w:p w14:paraId="401FA80C" w14:textId="77777777" w:rsidR="003C2E32" w:rsidRDefault="003C2E32" w:rsidP="00987A67">
            <w:pPr>
              <w:jc w:val="center"/>
              <w:rPr>
                <w:rFonts w:ascii="Calibri" w:hAnsi="Calibri" w:cs="Arial"/>
                <w:b/>
                <w:sz w:val="14"/>
                <w:szCs w:val="14"/>
              </w:rPr>
            </w:pPr>
          </w:p>
          <w:p w14:paraId="197E9D0B" w14:textId="77777777" w:rsidR="003C2E32" w:rsidRDefault="003C2E32" w:rsidP="00987A67">
            <w:pPr>
              <w:jc w:val="center"/>
              <w:rPr>
                <w:rFonts w:ascii="Calibri" w:hAnsi="Calibri" w:cs="Arial"/>
                <w:b/>
                <w:sz w:val="14"/>
                <w:szCs w:val="14"/>
              </w:rPr>
            </w:pPr>
            <w:r>
              <w:rPr>
                <w:rFonts w:ascii="Calibri" w:hAnsi="Calibri" w:cs="Arial"/>
                <w:b/>
                <w:sz w:val="14"/>
                <w:szCs w:val="14"/>
              </w:rPr>
              <w:t>M</w:t>
            </w:r>
            <w:r w:rsidRPr="00450F5E">
              <w:rPr>
                <w:rFonts w:ascii="Calibri" w:hAnsi="Calibri" w:cs="Arial"/>
                <w:b/>
                <w:sz w:val="14"/>
                <w:szCs w:val="14"/>
              </w:rPr>
              <w:t>aths intervention</w:t>
            </w:r>
          </w:p>
          <w:p w14:paraId="295B69D1" w14:textId="77777777" w:rsidR="003C2E32" w:rsidRDefault="003C2E32" w:rsidP="00987A67">
            <w:pPr>
              <w:jc w:val="center"/>
              <w:rPr>
                <w:rFonts w:ascii="Calibri" w:hAnsi="Calibri" w:cs="Arial"/>
                <w:bCs/>
                <w:sz w:val="18"/>
                <w:szCs w:val="18"/>
              </w:rPr>
            </w:pPr>
          </w:p>
          <w:p w14:paraId="32F740F5" w14:textId="77777777" w:rsidR="003C2E32" w:rsidRDefault="003C2E32" w:rsidP="00987A67">
            <w:pPr>
              <w:jc w:val="center"/>
              <w:rPr>
                <w:rFonts w:ascii="Calibri" w:hAnsi="Calibri" w:cs="Arial"/>
                <w:bCs/>
                <w:sz w:val="14"/>
                <w:szCs w:val="14"/>
              </w:rPr>
            </w:pPr>
            <w:r w:rsidRPr="00450F5E">
              <w:rPr>
                <w:rFonts w:ascii="Calibri" w:hAnsi="Calibri" w:cs="Arial"/>
                <w:bCs/>
                <w:sz w:val="14"/>
                <w:szCs w:val="14"/>
              </w:rPr>
              <w:t>1:1</w:t>
            </w:r>
          </w:p>
          <w:p w14:paraId="5283BC29" w14:textId="77777777" w:rsidR="003C2E32" w:rsidRPr="00450F5E" w:rsidRDefault="003C2E32" w:rsidP="00987A67">
            <w:pPr>
              <w:jc w:val="center"/>
              <w:rPr>
                <w:rFonts w:ascii="Calibri" w:hAnsi="Calibri" w:cs="Arial"/>
                <w:bCs/>
                <w:sz w:val="14"/>
                <w:szCs w:val="14"/>
              </w:rPr>
            </w:pPr>
          </w:p>
          <w:p w14:paraId="22D663D6" w14:textId="77777777" w:rsidR="003C2E32" w:rsidRPr="00450F5E" w:rsidRDefault="003C2E32" w:rsidP="00987A67">
            <w:pPr>
              <w:jc w:val="center"/>
              <w:rPr>
                <w:rFonts w:ascii="Calibri" w:hAnsi="Calibri" w:cs="Arial"/>
                <w:bCs/>
                <w:sz w:val="14"/>
                <w:szCs w:val="14"/>
              </w:rPr>
            </w:pPr>
            <w:r w:rsidRPr="00450F5E">
              <w:rPr>
                <w:rFonts w:ascii="Calibri" w:hAnsi="Calibri" w:cs="Arial"/>
                <w:bCs/>
                <w:sz w:val="14"/>
                <w:szCs w:val="14"/>
              </w:rPr>
              <w:t xml:space="preserve">10 </w:t>
            </w:r>
            <w:r>
              <w:rPr>
                <w:rFonts w:ascii="Calibri" w:hAnsi="Calibri" w:cs="Arial"/>
                <w:bCs/>
                <w:sz w:val="14"/>
                <w:szCs w:val="14"/>
              </w:rPr>
              <w:t>M</w:t>
            </w:r>
            <w:r w:rsidRPr="00450F5E">
              <w:rPr>
                <w:rFonts w:ascii="Calibri" w:hAnsi="Calibri" w:cs="Arial"/>
                <w:bCs/>
                <w:sz w:val="14"/>
                <w:szCs w:val="14"/>
              </w:rPr>
              <w:t>in</w:t>
            </w:r>
            <w:r>
              <w:rPr>
                <w:rFonts w:ascii="Calibri" w:hAnsi="Calibri" w:cs="Arial"/>
                <w:bCs/>
                <w:sz w:val="14"/>
                <w:szCs w:val="14"/>
              </w:rPr>
              <w:t>s</w:t>
            </w:r>
          </w:p>
        </w:tc>
        <w:tc>
          <w:tcPr>
            <w:tcW w:w="1270" w:type="dxa"/>
            <w:vMerge/>
          </w:tcPr>
          <w:p w14:paraId="15C0D4A6" w14:textId="77777777" w:rsidR="003C2E32" w:rsidRPr="00DC4B47" w:rsidRDefault="003C2E32" w:rsidP="00987A67">
            <w:pPr>
              <w:rPr>
                <w:sz w:val="18"/>
                <w:szCs w:val="18"/>
              </w:rPr>
            </w:pPr>
          </w:p>
        </w:tc>
        <w:tc>
          <w:tcPr>
            <w:tcW w:w="1270" w:type="dxa"/>
            <w:vAlign w:val="center"/>
          </w:tcPr>
          <w:p w14:paraId="21AA97DC" w14:textId="77777777" w:rsidR="003C2E32" w:rsidRDefault="003C2E32" w:rsidP="00987A67">
            <w:pPr>
              <w:jc w:val="center"/>
              <w:rPr>
                <w:sz w:val="18"/>
                <w:szCs w:val="18"/>
              </w:rPr>
            </w:pPr>
            <w:r>
              <w:rPr>
                <w:sz w:val="18"/>
                <w:szCs w:val="18"/>
              </w:rPr>
              <w:t>Lego Therapy</w:t>
            </w:r>
          </w:p>
          <w:p w14:paraId="28908533" w14:textId="77777777" w:rsidR="003C2E32" w:rsidRDefault="003C2E32" w:rsidP="00987A67">
            <w:pPr>
              <w:jc w:val="center"/>
              <w:rPr>
                <w:sz w:val="18"/>
                <w:szCs w:val="18"/>
              </w:rPr>
            </w:pPr>
          </w:p>
          <w:p w14:paraId="4B52CACC" w14:textId="77777777" w:rsidR="003C2E32" w:rsidRPr="00DC4B47" w:rsidRDefault="003C2E32" w:rsidP="00987A67">
            <w:pPr>
              <w:jc w:val="center"/>
              <w:rPr>
                <w:rFonts w:ascii="Calibri" w:hAnsi="Calibri" w:cs="Arial"/>
                <w:bCs/>
                <w:sz w:val="14"/>
                <w:szCs w:val="14"/>
              </w:rPr>
            </w:pPr>
            <w:r w:rsidRPr="00DC4B47">
              <w:rPr>
                <w:rFonts w:ascii="Calibri" w:hAnsi="Calibri" w:cs="Arial"/>
                <w:bCs/>
                <w:sz w:val="14"/>
                <w:szCs w:val="14"/>
              </w:rPr>
              <w:t>1:</w:t>
            </w:r>
            <w:r>
              <w:rPr>
                <w:rFonts w:ascii="Calibri" w:hAnsi="Calibri" w:cs="Arial"/>
                <w:bCs/>
                <w:sz w:val="14"/>
                <w:szCs w:val="14"/>
              </w:rPr>
              <w:t>4</w:t>
            </w:r>
          </w:p>
          <w:p w14:paraId="423AC2B6" w14:textId="77777777" w:rsidR="003C2E32" w:rsidRPr="00DC4B47" w:rsidRDefault="003C2E32" w:rsidP="00987A67">
            <w:pPr>
              <w:jc w:val="center"/>
              <w:rPr>
                <w:rFonts w:ascii="Calibri" w:hAnsi="Calibri" w:cs="Arial"/>
                <w:bCs/>
                <w:sz w:val="14"/>
                <w:szCs w:val="14"/>
              </w:rPr>
            </w:pPr>
          </w:p>
          <w:p w14:paraId="634C8859" w14:textId="77777777" w:rsidR="003C2E32" w:rsidRPr="00DC4B47" w:rsidRDefault="003C2E32" w:rsidP="00987A67">
            <w:pPr>
              <w:jc w:val="center"/>
              <w:rPr>
                <w:sz w:val="18"/>
                <w:szCs w:val="18"/>
              </w:rPr>
            </w:pPr>
            <w:r>
              <w:rPr>
                <w:rFonts w:ascii="Calibri" w:hAnsi="Calibri" w:cs="Arial"/>
                <w:bCs/>
                <w:sz w:val="14"/>
                <w:szCs w:val="14"/>
              </w:rPr>
              <w:t>20 Mins</w:t>
            </w:r>
          </w:p>
        </w:tc>
        <w:tc>
          <w:tcPr>
            <w:tcW w:w="1270" w:type="dxa"/>
            <w:vMerge/>
          </w:tcPr>
          <w:p w14:paraId="0A179C12" w14:textId="77777777" w:rsidR="003C2E32" w:rsidRPr="00DC4B47" w:rsidRDefault="003C2E32" w:rsidP="00987A67">
            <w:pPr>
              <w:rPr>
                <w:sz w:val="18"/>
                <w:szCs w:val="18"/>
              </w:rPr>
            </w:pPr>
          </w:p>
        </w:tc>
      </w:tr>
      <w:tr w:rsidR="003C2E32" w:rsidRPr="00DC4B47" w14:paraId="04F3646F" w14:textId="77777777" w:rsidTr="00E74B54">
        <w:trPr>
          <w:cantSplit/>
          <w:trHeight w:val="1545"/>
        </w:trPr>
        <w:tc>
          <w:tcPr>
            <w:tcW w:w="562" w:type="dxa"/>
            <w:shd w:val="clear" w:color="auto" w:fill="D0E6F6" w:themeFill="accent6" w:themeFillTint="33"/>
            <w:textDirection w:val="btLr"/>
            <w:vAlign w:val="center"/>
          </w:tcPr>
          <w:p w14:paraId="78D505BB" w14:textId="77777777" w:rsidR="003C2E32" w:rsidRPr="00DC4B47" w:rsidRDefault="003C2E32" w:rsidP="00987A67">
            <w:pPr>
              <w:spacing w:line="360" w:lineRule="auto"/>
              <w:ind w:left="-169" w:firstLine="19"/>
              <w:jc w:val="center"/>
              <w:rPr>
                <w:sz w:val="18"/>
                <w:szCs w:val="18"/>
              </w:rPr>
            </w:pPr>
            <w:r w:rsidRPr="00DC4B47">
              <w:rPr>
                <w:sz w:val="18"/>
                <w:szCs w:val="18"/>
              </w:rPr>
              <w:t>Friday</w:t>
            </w:r>
          </w:p>
        </w:tc>
        <w:tc>
          <w:tcPr>
            <w:tcW w:w="1269" w:type="dxa"/>
            <w:vMerge/>
          </w:tcPr>
          <w:p w14:paraId="1F49DF01" w14:textId="77777777" w:rsidR="003C2E32" w:rsidRPr="00DC4B47" w:rsidRDefault="003C2E32" w:rsidP="00987A67">
            <w:pPr>
              <w:rPr>
                <w:sz w:val="18"/>
                <w:szCs w:val="18"/>
              </w:rPr>
            </w:pPr>
          </w:p>
        </w:tc>
        <w:tc>
          <w:tcPr>
            <w:tcW w:w="1270" w:type="dxa"/>
            <w:vAlign w:val="center"/>
          </w:tcPr>
          <w:p w14:paraId="6FFCFDCE" w14:textId="77777777" w:rsidR="003C2E32" w:rsidRPr="00DC4B47" w:rsidRDefault="003C2E32" w:rsidP="00987A67">
            <w:pPr>
              <w:jc w:val="center"/>
              <w:rPr>
                <w:sz w:val="18"/>
                <w:szCs w:val="18"/>
              </w:rPr>
            </w:pPr>
            <w:r w:rsidRPr="00DC4B47">
              <w:rPr>
                <w:sz w:val="18"/>
                <w:szCs w:val="18"/>
              </w:rPr>
              <w:t>Assembly</w:t>
            </w:r>
          </w:p>
          <w:p w14:paraId="57A1BCDF" w14:textId="77777777" w:rsidR="003C2E32" w:rsidRPr="00DC4B47" w:rsidRDefault="003C2E32" w:rsidP="00987A67">
            <w:pPr>
              <w:jc w:val="center"/>
              <w:rPr>
                <w:rFonts w:ascii="Calibri" w:hAnsi="Calibri" w:cs="Arial"/>
                <w:b/>
                <w:sz w:val="14"/>
                <w:szCs w:val="14"/>
              </w:rPr>
            </w:pPr>
            <w:r w:rsidRPr="00DC4B47">
              <w:rPr>
                <w:rFonts w:ascii="Calibri" w:hAnsi="Calibri" w:cs="Arial"/>
                <w:b/>
                <w:sz w:val="14"/>
                <w:szCs w:val="14"/>
              </w:rPr>
              <w:t>Sensory Regulation as Required</w:t>
            </w:r>
          </w:p>
          <w:p w14:paraId="72D7ACB9" w14:textId="77777777" w:rsidR="003C2E32" w:rsidRPr="00DC4B47" w:rsidRDefault="003C2E32" w:rsidP="00987A67">
            <w:pPr>
              <w:jc w:val="center"/>
              <w:rPr>
                <w:rFonts w:ascii="Calibri" w:hAnsi="Calibri" w:cs="Arial"/>
                <w:bCs/>
                <w:sz w:val="14"/>
                <w:szCs w:val="14"/>
              </w:rPr>
            </w:pPr>
            <w:r w:rsidRPr="00DC4B47">
              <w:rPr>
                <w:rFonts w:ascii="Calibri" w:hAnsi="Calibri" w:cs="Arial"/>
                <w:bCs/>
                <w:sz w:val="14"/>
                <w:szCs w:val="14"/>
              </w:rPr>
              <w:t>1:2</w:t>
            </w:r>
          </w:p>
          <w:p w14:paraId="570A1CC2" w14:textId="77777777" w:rsidR="003C2E32" w:rsidRPr="00DC4B47" w:rsidRDefault="003C2E32" w:rsidP="00987A67">
            <w:pPr>
              <w:jc w:val="center"/>
              <w:rPr>
                <w:sz w:val="18"/>
                <w:szCs w:val="18"/>
              </w:rPr>
            </w:pPr>
            <w:r>
              <w:rPr>
                <w:rFonts w:ascii="Calibri" w:hAnsi="Calibri" w:cs="Arial"/>
                <w:bCs/>
                <w:sz w:val="14"/>
                <w:szCs w:val="14"/>
              </w:rPr>
              <w:t>2</w:t>
            </w:r>
            <w:r w:rsidRPr="00DC4B47">
              <w:rPr>
                <w:rFonts w:ascii="Calibri" w:hAnsi="Calibri" w:cs="Arial"/>
                <w:bCs/>
                <w:sz w:val="14"/>
                <w:szCs w:val="14"/>
              </w:rPr>
              <w:t>0 Mins</w:t>
            </w:r>
          </w:p>
        </w:tc>
        <w:tc>
          <w:tcPr>
            <w:tcW w:w="1270" w:type="dxa"/>
            <w:vMerge/>
          </w:tcPr>
          <w:p w14:paraId="39FE1984" w14:textId="77777777" w:rsidR="003C2E32" w:rsidRPr="00DC4B47" w:rsidRDefault="003C2E32" w:rsidP="00987A67">
            <w:pPr>
              <w:rPr>
                <w:sz w:val="18"/>
                <w:szCs w:val="18"/>
              </w:rPr>
            </w:pPr>
          </w:p>
        </w:tc>
        <w:tc>
          <w:tcPr>
            <w:tcW w:w="1270" w:type="dxa"/>
            <w:vMerge/>
          </w:tcPr>
          <w:p w14:paraId="6425AB07" w14:textId="77777777" w:rsidR="003C2E32" w:rsidRPr="00DC4B47" w:rsidRDefault="003C2E32" w:rsidP="00987A67">
            <w:pPr>
              <w:rPr>
                <w:sz w:val="18"/>
                <w:szCs w:val="18"/>
              </w:rPr>
            </w:pPr>
          </w:p>
        </w:tc>
        <w:tc>
          <w:tcPr>
            <w:tcW w:w="1270" w:type="dxa"/>
            <w:vMerge/>
          </w:tcPr>
          <w:p w14:paraId="141F0FBA" w14:textId="77777777" w:rsidR="003C2E32" w:rsidRPr="00DC4B47" w:rsidRDefault="003C2E32" w:rsidP="00987A67">
            <w:pPr>
              <w:rPr>
                <w:sz w:val="18"/>
                <w:szCs w:val="18"/>
              </w:rPr>
            </w:pPr>
          </w:p>
        </w:tc>
        <w:tc>
          <w:tcPr>
            <w:tcW w:w="1270" w:type="dxa"/>
            <w:vMerge/>
          </w:tcPr>
          <w:p w14:paraId="06AB006E" w14:textId="77777777" w:rsidR="003C2E32" w:rsidRPr="00DC4B47" w:rsidRDefault="003C2E32" w:rsidP="00987A67">
            <w:pPr>
              <w:rPr>
                <w:sz w:val="18"/>
                <w:szCs w:val="18"/>
              </w:rPr>
            </w:pPr>
          </w:p>
        </w:tc>
        <w:tc>
          <w:tcPr>
            <w:tcW w:w="1270" w:type="dxa"/>
            <w:vMerge/>
          </w:tcPr>
          <w:p w14:paraId="693C35BA" w14:textId="77777777" w:rsidR="003C2E32" w:rsidRPr="00DC4B47" w:rsidRDefault="003C2E32" w:rsidP="00987A67">
            <w:pPr>
              <w:rPr>
                <w:sz w:val="18"/>
                <w:szCs w:val="18"/>
              </w:rPr>
            </w:pPr>
          </w:p>
        </w:tc>
        <w:tc>
          <w:tcPr>
            <w:tcW w:w="1270" w:type="dxa"/>
            <w:vAlign w:val="center"/>
          </w:tcPr>
          <w:p w14:paraId="45E6227F" w14:textId="77777777" w:rsidR="003C2E32" w:rsidRDefault="003C2E32" w:rsidP="00987A67">
            <w:pPr>
              <w:jc w:val="center"/>
              <w:rPr>
                <w:rFonts w:ascii="Calibri" w:hAnsi="Calibri" w:cs="Arial"/>
                <w:bCs/>
                <w:sz w:val="18"/>
                <w:szCs w:val="18"/>
              </w:rPr>
            </w:pPr>
            <w:r>
              <w:rPr>
                <w:rFonts w:ascii="Calibri" w:hAnsi="Calibri" w:cs="Arial"/>
                <w:bCs/>
                <w:sz w:val="18"/>
                <w:szCs w:val="18"/>
              </w:rPr>
              <w:t>PE</w:t>
            </w:r>
          </w:p>
          <w:p w14:paraId="28C63AA1" w14:textId="77777777" w:rsidR="003C2E32" w:rsidRDefault="003C2E32" w:rsidP="00987A67">
            <w:pPr>
              <w:jc w:val="center"/>
              <w:rPr>
                <w:rFonts w:ascii="Calibri" w:hAnsi="Calibri" w:cs="Arial"/>
                <w:b/>
                <w:sz w:val="14"/>
                <w:szCs w:val="14"/>
              </w:rPr>
            </w:pPr>
          </w:p>
          <w:p w14:paraId="57C3F9D2" w14:textId="77777777" w:rsidR="003C2E32" w:rsidRPr="00DC4B47" w:rsidRDefault="003C2E32" w:rsidP="00987A67">
            <w:pPr>
              <w:jc w:val="center"/>
              <w:rPr>
                <w:rFonts w:ascii="Calibri" w:hAnsi="Calibri" w:cs="Arial"/>
                <w:b/>
                <w:sz w:val="14"/>
                <w:szCs w:val="14"/>
              </w:rPr>
            </w:pPr>
            <w:r>
              <w:rPr>
                <w:rFonts w:ascii="Calibri" w:hAnsi="Calibri" w:cs="Arial"/>
                <w:b/>
                <w:sz w:val="14"/>
                <w:szCs w:val="14"/>
              </w:rPr>
              <w:t xml:space="preserve">Emotional </w:t>
            </w:r>
            <w:r w:rsidRPr="00DC4B47">
              <w:rPr>
                <w:rFonts w:ascii="Calibri" w:hAnsi="Calibri" w:cs="Arial"/>
                <w:b/>
                <w:sz w:val="14"/>
                <w:szCs w:val="14"/>
              </w:rPr>
              <w:t>Regulation as Required</w:t>
            </w:r>
          </w:p>
          <w:p w14:paraId="1453C422" w14:textId="77777777" w:rsidR="003C2E32" w:rsidRDefault="003C2E32" w:rsidP="00987A67">
            <w:pPr>
              <w:jc w:val="center"/>
              <w:rPr>
                <w:rFonts w:ascii="Calibri" w:hAnsi="Calibri" w:cs="Arial"/>
                <w:b/>
                <w:sz w:val="14"/>
                <w:szCs w:val="14"/>
              </w:rPr>
            </w:pPr>
          </w:p>
          <w:p w14:paraId="6C9813D5" w14:textId="77777777" w:rsidR="003C2E32" w:rsidRPr="00DC4B47" w:rsidRDefault="003C2E32" w:rsidP="00987A67">
            <w:pPr>
              <w:jc w:val="center"/>
              <w:rPr>
                <w:rFonts w:ascii="Calibri" w:hAnsi="Calibri" w:cs="Arial"/>
                <w:bCs/>
                <w:sz w:val="14"/>
                <w:szCs w:val="14"/>
              </w:rPr>
            </w:pPr>
            <w:r w:rsidRPr="00DC4B47">
              <w:rPr>
                <w:rFonts w:ascii="Calibri" w:hAnsi="Calibri" w:cs="Arial"/>
                <w:bCs/>
                <w:sz w:val="14"/>
                <w:szCs w:val="14"/>
              </w:rPr>
              <w:t>1:</w:t>
            </w:r>
            <w:r>
              <w:rPr>
                <w:rFonts w:ascii="Calibri" w:hAnsi="Calibri" w:cs="Arial"/>
                <w:bCs/>
                <w:sz w:val="14"/>
                <w:szCs w:val="14"/>
              </w:rPr>
              <w:t>4</w:t>
            </w:r>
          </w:p>
          <w:p w14:paraId="213DB729" w14:textId="77777777" w:rsidR="003C2E32" w:rsidRPr="00DC4B47" w:rsidRDefault="003C2E32" w:rsidP="00987A67">
            <w:pPr>
              <w:jc w:val="center"/>
              <w:rPr>
                <w:rFonts w:ascii="Calibri" w:hAnsi="Calibri" w:cs="Arial"/>
                <w:bCs/>
                <w:sz w:val="14"/>
                <w:szCs w:val="14"/>
              </w:rPr>
            </w:pPr>
          </w:p>
          <w:p w14:paraId="57A85F35" w14:textId="77777777" w:rsidR="003C2E32" w:rsidRPr="00DC4B47" w:rsidRDefault="003C2E32" w:rsidP="00987A67">
            <w:pPr>
              <w:jc w:val="center"/>
              <w:rPr>
                <w:sz w:val="18"/>
                <w:szCs w:val="18"/>
              </w:rPr>
            </w:pPr>
            <w:r>
              <w:rPr>
                <w:rFonts w:ascii="Calibri" w:hAnsi="Calibri" w:cs="Arial"/>
                <w:bCs/>
                <w:sz w:val="14"/>
                <w:szCs w:val="14"/>
              </w:rPr>
              <w:t>60 Mins</w:t>
            </w:r>
          </w:p>
        </w:tc>
        <w:tc>
          <w:tcPr>
            <w:tcW w:w="1270" w:type="dxa"/>
            <w:vMerge/>
          </w:tcPr>
          <w:p w14:paraId="715960BF" w14:textId="77777777" w:rsidR="003C2E32" w:rsidRPr="00DC4B47" w:rsidRDefault="003C2E32" w:rsidP="00987A67">
            <w:pPr>
              <w:rPr>
                <w:sz w:val="18"/>
                <w:szCs w:val="18"/>
              </w:rPr>
            </w:pPr>
          </w:p>
        </w:tc>
        <w:tc>
          <w:tcPr>
            <w:tcW w:w="1270" w:type="dxa"/>
            <w:vAlign w:val="center"/>
          </w:tcPr>
          <w:p w14:paraId="0CE18031" w14:textId="77777777" w:rsidR="003C2E32" w:rsidRPr="00DC4B47" w:rsidRDefault="003C2E32" w:rsidP="00987A67">
            <w:pPr>
              <w:jc w:val="center"/>
              <w:rPr>
                <w:sz w:val="18"/>
                <w:szCs w:val="18"/>
              </w:rPr>
            </w:pPr>
          </w:p>
        </w:tc>
        <w:tc>
          <w:tcPr>
            <w:tcW w:w="1270" w:type="dxa"/>
            <w:vMerge/>
          </w:tcPr>
          <w:p w14:paraId="41FF9491" w14:textId="77777777" w:rsidR="003C2E32" w:rsidRPr="00DC4B47" w:rsidRDefault="003C2E32" w:rsidP="00987A67">
            <w:pPr>
              <w:rPr>
                <w:sz w:val="18"/>
                <w:szCs w:val="18"/>
              </w:rPr>
            </w:pPr>
          </w:p>
        </w:tc>
      </w:tr>
    </w:tbl>
    <w:p w14:paraId="13640688" w14:textId="77777777" w:rsidR="003C2E32" w:rsidRPr="00DB2416" w:rsidRDefault="003C2E32" w:rsidP="003D7F9A">
      <w:pPr>
        <w:rPr>
          <w:rFonts w:asciiTheme="minorHAnsi" w:hAnsiTheme="minorHAnsi" w:cstheme="minorHAnsi"/>
          <w:bCs/>
          <w:iCs/>
          <w:sz w:val="22"/>
        </w:rPr>
      </w:pPr>
    </w:p>
    <w:sectPr w:rsidR="003C2E32" w:rsidRPr="00DB2416" w:rsidSect="00543EF7">
      <w:pgSz w:w="16838" w:h="11906" w:orient="landscape"/>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6BF90" w14:textId="77777777" w:rsidR="008E27D0" w:rsidRDefault="008E27D0" w:rsidP="003D7F9A">
      <w:pPr>
        <w:spacing w:after="0" w:line="240" w:lineRule="auto"/>
      </w:pPr>
      <w:r>
        <w:separator/>
      </w:r>
    </w:p>
  </w:endnote>
  <w:endnote w:type="continuationSeparator" w:id="0">
    <w:p w14:paraId="46FC4D45" w14:textId="77777777" w:rsidR="008E27D0" w:rsidRDefault="008E27D0" w:rsidP="003D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A3B17" w14:textId="1B744CA6" w:rsidR="00DB2416" w:rsidRDefault="00DB2416">
    <w:pPr>
      <w:pStyle w:val="Footer"/>
    </w:pPr>
    <w:r>
      <w:rPr>
        <w:noProof/>
      </w:rPr>
      <w:drawing>
        <wp:anchor distT="0" distB="0" distL="114300" distR="114300" simplePos="0" relativeHeight="251664384" behindDoc="1" locked="0" layoutInCell="1" allowOverlap="1" wp14:anchorId="57AD33D3" wp14:editId="2B37FCAB">
          <wp:simplePos x="0" y="0"/>
          <wp:positionH relativeFrom="column">
            <wp:posOffset>-1626190</wp:posOffset>
          </wp:positionH>
          <wp:positionV relativeFrom="paragraph">
            <wp:posOffset>-429260</wp:posOffset>
          </wp:positionV>
          <wp:extent cx="5731510" cy="1061720"/>
          <wp:effectExtent l="0" t="0" r="0" b="0"/>
          <wp:wrapNone/>
          <wp:docPr id="2" name="Picture 2" descr="A picture containing font, line, symbo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line, symbol,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0617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73337" w14:textId="77777777" w:rsidR="008E27D0" w:rsidRDefault="008E27D0" w:rsidP="003D7F9A">
      <w:pPr>
        <w:spacing w:after="0" w:line="240" w:lineRule="auto"/>
      </w:pPr>
      <w:r>
        <w:separator/>
      </w:r>
    </w:p>
  </w:footnote>
  <w:footnote w:type="continuationSeparator" w:id="0">
    <w:p w14:paraId="65EE327D" w14:textId="77777777" w:rsidR="008E27D0" w:rsidRDefault="008E27D0" w:rsidP="003D7F9A">
      <w:pPr>
        <w:spacing w:after="0" w:line="240" w:lineRule="auto"/>
      </w:pPr>
      <w:r>
        <w:continuationSeparator/>
      </w:r>
    </w:p>
  </w:footnote>
  <w:footnote w:id="1">
    <w:p w14:paraId="4598DD20" w14:textId="77777777" w:rsidR="003D7F9A" w:rsidRDefault="003D7F9A" w:rsidP="003D7F9A">
      <w:pPr>
        <w:pStyle w:val="FootnoteText"/>
      </w:pPr>
      <w:r>
        <w:rPr>
          <w:rStyle w:val="FootnoteReference"/>
        </w:rPr>
        <w:footnoteRef/>
      </w:r>
      <w:r>
        <w:t xml:space="preserve"> </w:t>
      </w:r>
      <w:hyperlink r:id="rId1" w:history="1">
        <w:r>
          <w:rPr>
            <w:rStyle w:val="Hyperlink"/>
          </w:rPr>
          <w:t>The notional SEN budget for mainstream schools: operational guidance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ABB6" w14:textId="6B291E50" w:rsidR="00DB2416" w:rsidRDefault="00DB2416">
    <w:pPr>
      <w:pStyle w:val="Header"/>
    </w:pPr>
    <w:r>
      <w:rPr>
        <w:noProof/>
      </w:rPr>
      <w:drawing>
        <wp:anchor distT="0" distB="0" distL="114300" distR="114300" simplePos="0" relativeHeight="251657216" behindDoc="1" locked="0" layoutInCell="1" allowOverlap="1" wp14:anchorId="237CD182" wp14:editId="00382D5D">
          <wp:simplePos x="0" y="0"/>
          <wp:positionH relativeFrom="margin">
            <wp:align>center</wp:align>
          </wp:positionH>
          <wp:positionV relativeFrom="paragraph">
            <wp:posOffset>-255770</wp:posOffset>
          </wp:positionV>
          <wp:extent cx="5937512" cy="549983"/>
          <wp:effectExtent l="0" t="0" r="0" b="0"/>
          <wp:wrapNone/>
          <wp:docPr id="1" name="Picture 1" descr="A picture containing screensho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graphics, graphic design&#10;&#10;Description automatically generated"/>
                  <pic:cNvPicPr/>
                </pic:nvPicPr>
                <pic:blipFill rotWithShape="1">
                  <a:blip r:embed="rId1">
                    <a:extLst>
                      <a:ext uri="{28A0092B-C50C-407E-A947-70E740481C1C}">
                        <a14:useLocalDpi xmlns:a14="http://schemas.microsoft.com/office/drawing/2010/main" val="0"/>
                      </a:ext>
                    </a:extLst>
                  </a:blip>
                  <a:srcRect t="31483" b="29612"/>
                  <a:stretch/>
                </pic:blipFill>
                <pic:spPr bwMode="auto">
                  <a:xfrm>
                    <a:off x="0" y="0"/>
                    <a:ext cx="5937512" cy="5499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63E3B"/>
    <w:multiLevelType w:val="hybridMultilevel"/>
    <w:tmpl w:val="1DD6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A5ABA"/>
    <w:multiLevelType w:val="hybridMultilevel"/>
    <w:tmpl w:val="A3AE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CD5D4D"/>
    <w:multiLevelType w:val="hybridMultilevel"/>
    <w:tmpl w:val="19D8E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352DA2"/>
    <w:multiLevelType w:val="hybridMultilevel"/>
    <w:tmpl w:val="AEAC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71C1A"/>
    <w:multiLevelType w:val="hybridMultilevel"/>
    <w:tmpl w:val="716A9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BBD1259"/>
    <w:multiLevelType w:val="hybridMultilevel"/>
    <w:tmpl w:val="1F42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0417407">
    <w:abstractNumId w:val="5"/>
  </w:num>
  <w:num w:numId="2" w16cid:durableId="1495730323">
    <w:abstractNumId w:val="1"/>
  </w:num>
  <w:num w:numId="3" w16cid:durableId="1829134466">
    <w:abstractNumId w:val="0"/>
  </w:num>
  <w:num w:numId="4" w16cid:durableId="1705787988">
    <w:abstractNumId w:val="2"/>
  </w:num>
  <w:num w:numId="5" w16cid:durableId="1339649650">
    <w:abstractNumId w:val="4"/>
  </w:num>
  <w:num w:numId="6" w16cid:durableId="280500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71"/>
    <w:rsid w:val="00025A4F"/>
    <w:rsid w:val="0004251F"/>
    <w:rsid w:val="00072E26"/>
    <w:rsid w:val="000D5475"/>
    <w:rsid w:val="000E5473"/>
    <w:rsid w:val="000F488E"/>
    <w:rsid w:val="00142783"/>
    <w:rsid w:val="0014592D"/>
    <w:rsid w:val="00151AF0"/>
    <w:rsid w:val="00170780"/>
    <w:rsid w:val="001723A4"/>
    <w:rsid w:val="00191A99"/>
    <w:rsid w:val="001C4F45"/>
    <w:rsid w:val="002C4DBF"/>
    <w:rsid w:val="0030181D"/>
    <w:rsid w:val="00342499"/>
    <w:rsid w:val="003C2E32"/>
    <w:rsid w:val="003C4A13"/>
    <w:rsid w:val="003D7F9A"/>
    <w:rsid w:val="00400913"/>
    <w:rsid w:val="00426D50"/>
    <w:rsid w:val="00483DF7"/>
    <w:rsid w:val="004B53EE"/>
    <w:rsid w:val="004E5C6B"/>
    <w:rsid w:val="00543EF7"/>
    <w:rsid w:val="00553A24"/>
    <w:rsid w:val="00561309"/>
    <w:rsid w:val="005E79B0"/>
    <w:rsid w:val="00602560"/>
    <w:rsid w:val="00635D8D"/>
    <w:rsid w:val="00661ACE"/>
    <w:rsid w:val="00697DC3"/>
    <w:rsid w:val="006B54F3"/>
    <w:rsid w:val="006D1745"/>
    <w:rsid w:val="006D390D"/>
    <w:rsid w:val="007054D2"/>
    <w:rsid w:val="00722AFC"/>
    <w:rsid w:val="00743E23"/>
    <w:rsid w:val="00784AA0"/>
    <w:rsid w:val="007961AE"/>
    <w:rsid w:val="007B624D"/>
    <w:rsid w:val="007E6804"/>
    <w:rsid w:val="007F7619"/>
    <w:rsid w:val="00811A93"/>
    <w:rsid w:val="00865756"/>
    <w:rsid w:val="00892EF8"/>
    <w:rsid w:val="008E27D0"/>
    <w:rsid w:val="008E4E06"/>
    <w:rsid w:val="0092215D"/>
    <w:rsid w:val="00951BE1"/>
    <w:rsid w:val="009747F4"/>
    <w:rsid w:val="00991B64"/>
    <w:rsid w:val="009A1E79"/>
    <w:rsid w:val="009A1E9E"/>
    <w:rsid w:val="009B5A77"/>
    <w:rsid w:val="009C1B30"/>
    <w:rsid w:val="009C52A8"/>
    <w:rsid w:val="009E24D2"/>
    <w:rsid w:val="00A0259E"/>
    <w:rsid w:val="00A11F03"/>
    <w:rsid w:val="00A13994"/>
    <w:rsid w:val="00A27C2A"/>
    <w:rsid w:val="00A940FF"/>
    <w:rsid w:val="00AE7458"/>
    <w:rsid w:val="00B05971"/>
    <w:rsid w:val="00B33205"/>
    <w:rsid w:val="00B46ED3"/>
    <w:rsid w:val="00B502D8"/>
    <w:rsid w:val="00B657B5"/>
    <w:rsid w:val="00BE08A9"/>
    <w:rsid w:val="00C36E20"/>
    <w:rsid w:val="00C75BDF"/>
    <w:rsid w:val="00C83F52"/>
    <w:rsid w:val="00C93AED"/>
    <w:rsid w:val="00CB7F3A"/>
    <w:rsid w:val="00CC3945"/>
    <w:rsid w:val="00CD01A4"/>
    <w:rsid w:val="00CF5D35"/>
    <w:rsid w:val="00D14A20"/>
    <w:rsid w:val="00D46884"/>
    <w:rsid w:val="00D46CFF"/>
    <w:rsid w:val="00D537E5"/>
    <w:rsid w:val="00D54528"/>
    <w:rsid w:val="00D662AD"/>
    <w:rsid w:val="00DB2416"/>
    <w:rsid w:val="00DC2369"/>
    <w:rsid w:val="00DE7F16"/>
    <w:rsid w:val="00E23E2D"/>
    <w:rsid w:val="00E37ECD"/>
    <w:rsid w:val="00E74B54"/>
    <w:rsid w:val="00E77F83"/>
    <w:rsid w:val="00EA2FDF"/>
    <w:rsid w:val="00EC2F5B"/>
    <w:rsid w:val="00ED6ED5"/>
    <w:rsid w:val="00EF45F2"/>
    <w:rsid w:val="00F96FEE"/>
    <w:rsid w:val="00FB70BF"/>
    <w:rsid w:val="00FD3C0E"/>
    <w:rsid w:val="00FF4E0F"/>
    <w:rsid w:val="0313D488"/>
    <w:rsid w:val="08A88F59"/>
    <w:rsid w:val="61365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FB147"/>
  <w15:chartTrackingRefBased/>
  <w15:docId w15:val="{6F7D1DDF-CD31-4C8E-A2CF-127D7192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A77"/>
    <w:rPr>
      <w:rFonts w:ascii="Arial" w:hAnsi="Arial"/>
      <w:sz w:val="24"/>
    </w:rPr>
  </w:style>
  <w:style w:type="paragraph" w:styleId="Heading1">
    <w:name w:val="heading 1"/>
    <w:basedOn w:val="Normal"/>
    <w:next w:val="Normal"/>
    <w:link w:val="Heading1Char"/>
    <w:uiPriority w:val="9"/>
    <w:qFormat/>
    <w:rsid w:val="009B5A77"/>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170780"/>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unhideWhenUsed/>
    <w:qFormat/>
    <w:rsid w:val="009A1E9E"/>
    <w:pPr>
      <w:keepNext/>
      <w:keepLines/>
      <w:spacing w:before="40" w:after="0"/>
      <w:outlineLvl w:val="2"/>
    </w:pPr>
    <w:rPr>
      <w:rFonts w:asciiTheme="majorHAnsi" w:eastAsiaTheme="majorEastAsia" w:hAnsiTheme="majorHAnsi" w:cstheme="majorBidi"/>
      <w:color w:val="1A495C" w:themeColor="accent1" w:themeShade="7F"/>
      <w:szCs w:val="24"/>
    </w:rPr>
  </w:style>
  <w:style w:type="paragraph" w:styleId="Heading9">
    <w:name w:val="heading 9"/>
    <w:basedOn w:val="Normal"/>
    <w:next w:val="Normal"/>
    <w:link w:val="Heading9Char"/>
    <w:uiPriority w:val="9"/>
    <w:semiHidden/>
    <w:unhideWhenUsed/>
    <w:qFormat/>
    <w:rsid w:val="00DB241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A77"/>
    <w:rPr>
      <w:rFonts w:ascii="Arial" w:eastAsiaTheme="majorEastAsia" w:hAnsi="Arial" w:cstheme="majorBidi"/>
      <w:sz w:val="32"/>
      <w:szCs w:val="32"/>
    </w:rPr>
  </w:style>
  <w:style w:type="paragraph" w:styleId="FootnoteText">
    <w:name w:val="footnote text"/>
    <w:basedOn w:val="Normal"/>
    <w:link w:val="FootnoteTextChar"/>
    <w:uiPriority w:val="99"/>
    <w:semiHidden/>
    <w:unhideWhenUsed/>
    <w:rsid w:val="003D7F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7F9A"/>
    <w:rPr>
      <w:rFonts w:ascii="Arial" w:hAnsi="Arial"/>
      <w:sz w:val="20"/>
      <w:szCs w:val="20"/>
    </w:rPr>
  </w:style>
  <w:style w:type="character" w:styleId="FootnoteReference">
    <w:name w:val="footnote reference"/>
    <w:basedOn w:val="DefaultParagraphFont"/>
    <w:uiPriority w:val="99"/>
    <w:semiHidden/>
    <w:unhideWhenUsed/>
    <w:rsid w:val="003D7F9A"/>
    <w:rPr>
      <w:vertAlign w:val="superscript"/>
    </w:rPr>
  </w:style>
  <w:style w:type="character" w:styleId="Hyperlink">
    <w:name w:val="Hyperlink"/>
    <w:basedOn w:val="DefaultParagraphFont"/>
    <w:uiPriority w:val="99"/>
    <w:unhideWhenUsed/>
    <w:rsid w:val="003D7F9A"/>
    <w:rPr>
      <w:color w:val="0000FF"/>
      <w:u w:val="single"/>
    </w:rPr>
  </w:style>
  <w:style w:type="paragraph" w:styleId="Title">
    <w:name w:val="Title"/>
    <w:basedOn w:val="Normal"/>
    <w:next w:val="Normal"/>
    <w:link w:val="TitleChar"/>
    <w:uiPriority w:val="10"/>
    <w:qFormat/>
    <w:rsid w:val="003D7F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F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42783"/>
    <w:pPr>
      <w:ind w:left="720"/>
      <w:contextualSpacing/>
    </w:pPr>
  </w:style>
  <w:style w:type="character" w:customStyle="1" w:styleId="Heading2Char">
    <w:name w:val="Heading 2 Char"/>
    <w:basedOn w:val="DefaultParagraphFont"/>
    <w:link w:val="Heading2"/>
    <w:uiPriority w:val="9"/>
    <w:rsid w:val="00170780"/>
    <w:rPr>
      <w:rFonts w:asciiTheme="majorHAnsi" w:eastAsiaTheme="majorEastAsia" w:hAnsiTheme="majorHAnsi" w:cstheme="majorBidi"/>
      <w:color w:val="276E8B" w:themeColor="accent1" w:themeShade="BF"/>
      <w:sz w:val="26"/>
      <w:szCs w:val="26"/>
    </w:rPr>
  </w:style>
  <w:style w:type="character" w:customStyle="1" w:styleId="Heading9Char">
    <w:name w:val="Heading 9 Char"/>
    <w:basedOn w:val="DefaultParagraphFont"/>
    <w:link w:val="Heading9"/>
    <w:uiPriority w:val="9"/>
    <w:semiHidden/>
    <w:rsid w:val="00DB241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B2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416"/>
    <w:rPr>
      <w:rFonts w:ascii="Arial" w:hAnsi="Arial"/>
      <w:sz w:val="24"/>
    </w:rPr>
  </w:style>
  <w:style w:type="paragraph" w:styleId="Footer">
    <w:name w:val="footer"/>
    <w:basedOn w:val="Normal"/>
    <w:link w:val="FooterChar"/>
    <w:uiPriority w:val="99"/>
    <w:unhideWhenUsed/>
    <w:rsid w:val="00DB2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416"/>
    <w:rPr>
      <w:rFonts w:ascii="Arial" w:hAnsi="Arial"/>
      <w:sz w:val="24"/>
    </w:rPr>
  </w:style>
  <w:style w:type="character" w:styleId="UnresolvedMention">
    <w:name w:val="Unresolved Mention"/>
    <w:basedOn w:val="DefaultParagraphFont"/>
    <w:uiPriority w:val="99"/>
    <w:semiHidden/>
    <w:unhideWhenUsed/>
    <w:rsid w:val="00400913"/>
    <w:rPr>
      <w:color w:val="605E5C"/>
      <w:shd w:val="clear" w:color="auto" w:fill="E1DFDD"/>
    </w:rPr>
  </w:style>
  <w:style w:type="character" w:customStyle="1" w:styleId="Heading3Char">
    <w:name w:val="Heading 3 Char"/>
    <w:basedOn w:val="DefaultParagraphFont"/>
    <w:link w:val="Heading3"/>
    <w:uiPriority w:val="9"/>
    <w:rsid w:val="009A1E9E"/>
    <w:rPr>
      <w:rFonts w:asciiTheme="majorHAnsi" w:eastAsiaTheme="majorEastAsia" w:hAnsiTheme="majorHAnsi" w:cstheme="majorBidi"/>
      <w:color w:val="1A495C" w:themeColor="accent1" w:themeShade="7F"/>
      <w:sz w:val="24"/>
      <w:szCs w:val="24"/>
    </w:rPr>
  </w:style>
  <w:style w:type="table" w:styleId="TableGrid">
    <w:name w:val="Table Grid"/>
    <w:basedOn w:val="TableNormal"/>
    <w:uiPriority w:val="39"/>
    <w:rsid w:val="007F7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59E"/>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6B54F3"/>
    <w:rPr>
      <w:sz w:val="16"/>
      <w:szCs w:val="16"/>
    </w:rPr>
  </w:style>
  <w:style w:type="paragraph" w:styleId="CommentText">
    <w:name w:val="annotation text"/>
    <w:basedOn w:val="Normal"/>
    <w:link w:val="CommentTextChar"/>
    <w:uiPriority w:val="99"/>
    <w:unhideWhenUsed/>
    <w:rsid w:val="006B54F3"/>
    <w:pPr>
      <w:spacing w:line="240" w:lineRule="auto"/>
    </w:pPr>
    <w:rPr>
      <w:sz w:val="20"/>
      <w:szCs w:val="20"/>
    </w:rPr>
  </w:style>
  <w:style w:type="character" w:customStyle="1" w:styleId="CommentTextChar">
    <w:name w:val="Comment Text Char"/>
    <w:basedOn w:val="DefaultParagraphFont"/>
    <w:link w:val="CommentText"/>
    <w:uiPriority w:val="99"/>
    <w:rsid w:val="006B54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54F3"/>
    <w:rPr>
      <w:b/>
      <w:bCs/>
    </w:rPr>
  </w:style>
  <w:style w:type="character" w:customStyle="1" w:styleId="CommentSubjectChar">
    <w:name w:val="Comment Subject Char"/>
    <w:basedOn w:val="CommentTextChar"/>
    <w:link w:val="CommentSubject"/>
    <w:uiPriority w:val="99"/>
    <w:semiHidden/>
    <w:rsid w:val="006B54F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5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n@southtynesid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e-16-schools-funding-local-authority-guidance-for-2023-to-2024/the-notional-sen-budget-for-mainstream-schools-operational-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88BD7C898BB499570DB7223F12695" ma:contentTypeVersion="11" ma:contentTypeDescription="Create a new document." ma:contentTypeScope="" ma:versionID="2bc63b328794bc2fa56e09ae7e887015">
  <xsd:schema xmlns:xsd="http://www.w3.org/2001/XMLSchema" xmlns:xs="http://www.w3.org/2001/XMLSchema" xmlns:p="http://schemas.microsoft.com/office/2006/metadata/properties" xmlns:ns2="794bb08d-26bc-4383-98e2-c06fd5990b26" xmlns:ns3="15d6a770-e4de-412d-8318-631fc3145d38" targetNamespace="http://schemas.microsoft.com/office/2006/metadata/properties" ma:root="true" ma:fieldsID="59394686f7fca321667ca5c3d2c988e3" ns2:_="" ns3:_="">
    <xsd:import namespace="794bb08d-26bc-4383-98e2-c06fd5990b26"/>
    <xsd:import namespace="15d6a770-e4de-412d-8318-631fc3145d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b08d-26bc-4383-98e2-c06fd5990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6a770-e4de-412d-8318-631fc3145d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2749ea-ae58-4e3c-88f3-cd0955563ad5}" ma:internalName="TaxCatchAll" ma:showField="CatchAllData" ma:web="15d6a770-e4de-412d-8318-631fc3145d3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d6a770-e4de-412d-8318-631fc3145d38" xsi:nil="true"/>
    <lcf76f155ced4ddcb4097134ff3c332f xmlns="794bb08d-26bc-4383-98e2-c06fd5990b2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DE3ED-3EC1-4853-B37E-29A2B2E0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b08d-26bc-4383-98e2-c06fd5990b26"/>
    <ds:schemaRef ds:uri="15d6a770-e4de-412d-8318-631fc3145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0F0EC-A1B4-42E4-A939-8A38CAD708EC}">
  <ds:schemaRefs>
    <ds:schemaRef ds:uri="http://schemas.microsoft.com/sharepoint/v3/contenttype/forms"/>
  </ds:schemaRefs>
</ds:datastoreItem>
</file>

<file path=customXml/itemProps3.xml><?xml version="1.0" encoding="utf-8"?>
<ds:datastoreItem xmlns:ds="http://schemas.openxmlformats.org/officeDocument/2006/customXml" ds:itemID="{F47C08DE-4B85-4178-807F-8B0C5ED41913}">
  <ds:schemaRefs>
    <ds:schemaRef ds:uri="http://schemas.microsoft.com/office/2006/metadata/properties"/>
    <ds:schemaRef ds:uri="http://schemas.microsoft.com/office/infopath/2007/PartnerControls"/>
    <ds:schemaRef ds:uri="15d6a770-e4de-412d-8318-631fc3145d38"/>
    <ds:schemaRef ds:uri="794bb08d-26bc-4383-98e2-c06fd5990b26"/>
  </ds:schemaRefs>
</ds:datastoreItem>
</file>

<file path=customXml/itemProps4.xml><?xml version="1.0" encoding="utf-8"?>
<ds:datastoreItem xmlns:ds="http://schemas.openxmlformats.org/officeDocument/2006/customXml" ds:itemID="{AA5B25E7-B618-4A3B-9917-4C082FF9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Gibbons</dc:creator>
  <cp:keywords/>
  <dc:description/>
  <cp:lastModifiedBy>Jason McAllister</cp:lastModifiedBy>
  <cp:revision>10</cp:revision>
  <dcterms:created xsi:type="dcterms:W3CDTF">2024-07-17T15:11:00Z</dcterms:created>
  <dcterms:modified xsi:type="dcterms:W3CDTF">2025-01-06T14:58:00Z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0x0101005A188BD7C898BB499570DB7223F12695</vt:lpwstr>
  </property>
  <property fmtid="{D5CDD505-2E9C-101B-9397-08002B2CF9AE}" pid="3" name="MediaServiceImageTags">
    <vt:lpwstr/>
  </property>
</Properties>
</file>